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555-0189 | monica.hall@endframe.com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Mid-Market Account Executive | Full-Cycle Closing | MEDDIC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Mid-market account executive with 4 years of full-cycle closing experience, averaging $42K ACV across a 60-day sales cycle. Closed 112% of a $900K annual quota in FY25 through a mix of self-sourced and marketing-sourced pipeline, using MEDDIC to qualify and forecast.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Mid-Market 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Carried a $950K annual quota across a 90-account territory, closing at 118% attainment with an average deal size of $38K ACV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Multi-threaded an average of 4 stakeholders per deal, shortening the sales cycle from 75 to 55 days after adopting MEDDIC qualification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112% of a $900K annual quota in FY25 through a mix of self-sourced and marketing-sourced pipeline, sourcing 45% of closed-won ARR personally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average deal size from $28K to $42K ACV year over year by shifting territory focus from SMB to mid-market accounts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 Executive, SMB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2021 - May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46 net-new logos in FY22 against a $650K quota, sourcing 70% of pipeline through outbound and running an average 25-day sales cycle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book of 300+ SMB accounts in HubSpot, maintaining a 32% win rate on qualified opportunities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to Mid-Market AE in 2023 after two consecutive quarters above 110% attainment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Cycle &amp; Pipeline: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Full-cycle sales, Net-new logo acquisition, Self-sourced pipeline, Territory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Methodology &amp; Deal Qualification: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MEDDIC, Multi-threading, Consultative selling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HubSpot, Outreach, Gong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Deal Metrics &amp; Outcomes: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Annual recurring revenue (ARR), Average contract value (ACV), Win rate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Communications, University of Texas at Austin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