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" w:before="0"/>
        <w:jc w:val="center"/>
      </w:pPr>
      <w:r>
        <w:rPr>
          <w:rFonts w:ascii="Arial" w:cs="Arial" w:eastAsia="Arial" w:hAnsi="Arial"/>
          <w:b/>
          <w:bCs/>
          <w:color w:val="1A6B4A"/>
          <w:sz w:val="46"/>
          <w:szCs w:val="46"/>
        </w:rPr>
        <w:t xml:space="preserve">Gavin Belson</w:t>
      </w:r>
    </w:p>
    <w:p>
      <w:pPr>
        <w:spacing w:after="28" w:before="0"/>
        <w:jc w:val="center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RN, CCM  •  Acute Care Hospital Case Manager</w:t>
      </w:r>
    </w:p>
    <w:p>
      <w:pPr>
        <w:spacing w:after="60" w:before="0"/>
        <w:jc w:val="center"/>
      </w:pPr>
      <w:r>
        <w:rPr>
          <w:rFonts w:ascii="Arial" w:cs="Arial" w:eastAsia="Arial" w:hAnsi="Arial"/>
          <w:color w:val="666666"/>
          <w:sz w:val="17"/>
          <w:szCs w:val="17"/>
        </w:rPr>
        <w:t xml:space="preserve">gavin.belson@email.com  •  (415) 555-0182  •  Chicago, IL  •  linkedin.com/in/gavinbelson</w:t>
      </w:r>
    </w:p>
    <w:p>
      <w:pPr>
        <w:pBdr>
          <w:bottom w:val="single" w:color="1A6B4A" w:sz="12" w:space="1"/>
        </w:pBdr>
        <w:spacing w:after="90" w:before="0"/>
      </w:pPr>
    </w:p>
    <w:p>
      <w:pPr>
        <w:spacing w:after="30" w:before="130"/>
      </w:pPr>
      <w:r>
        <w:rPr>
          <w:rFonts w:ascii="Arial" w:cs="Arial" w:eastAsia="Arial" w:hAnsi="Arial"/>
          <w:b/>
          <w:bCs/>
          <w:color w:val="1A6B4A"/>
          <w:sz w:val="19"/>
          <w:szCs w:val="19"/>
        </w:rPr>
        <w:t xml:space="preserve">LICENSURE &amp; CREDENTIALS</w:t>
      </w:r>
    </w:p>
    <w:p>
      <w:pPr>
        <w:pBdr>
          <w:bottom w:val="single" w:color="1A6B4A" w:sz="4" w:space="1"/>
        </w:pBdr>
        <w:spacing w:after="60" w:before="0"/>
      </w:pPr>
    </w:p>
    <w:p>
      <w:pPr>
        <w:spacing w:after="22" w:before="22"/>
      </w:pPr>
      <w:r>
        <w:rPr>
          <w:rFonts w:ascii="Arial" w:cs="Arial" w:eastAsia="Arial" w:hAnsi="Arial"/>
          <w:b/>
          <w:bCs/>
          <w:color w:val="1A1A1A"/>
          <w:sz w:val="18"/>
          <w:szCs w:val="18"/>
        </w:rPr>
        <w:t xml:space="preserve">CCM  —  </w:t>
      </w:r>
      <w:r>
        <w:rPr>
          <w:rFonts w:ascii="Arial" w:cs="Arial" w:eastAsia="Arial" w:hAnsi="Arial"/>
          <w:color w:val="3D3D3D"/>
          <w:sz w:val="18"/>
          <w:szCs w:val="18"/>
        </w:rPr>
        <w:t xml:space="preserve">Commission for Case Manager Certification  |  Valid through September 2027</w:t>
      </w:r>
    </w:p>
    <w:p>
      <w:pPr>
        <w:spacing w:after="22" w:before="22"/>
      </w:pPr>
      <w:r>
        <w:rPr>
          <w:rFonts w:ascii="Arial" w:cs="Arial" w:eastAsia="Arial" w:hAnsi="Arial"/>
          <w:b/>
          <w:bCs/>
          <w:color w:val="1A1A1A"/>
          <w:sz w:val="18"/>
          <w:szCs w:val="18"/>
        </w:rPr>
        <w:t xml:space="preserve">RN  —  </w:t>
      </w:r>
      <w:r>
        <w:rPr>
          <w:rFonts w:ascii="Arial" w:cs="Arial" w:eastAsia="Arial" w:hAnsi="Arial"/>
          <w:color w:val="3D3D3D"/>
          <w:sz w:val="18"/>
          <w:szCs w:val="18"/>
        </w:rPr>
        <w:t xml:space="preserve">Illinois DFPR  |  License #: 041-389204  |  Active</w:t>
      </w:r>
    </w:p>
    <w:p>
      <w:pPr>
        <w:spacing w:after="22" w:before="22"/>
      </w:pPr>
      <w:r>
        <w:rPr>
          <w:rFonts w:ascii="Arial" w:cs="Arial" w:eastAsia="Arial" w:hAnsi="Arial"/>
          <w:b/>
          <w:bCs/>
          <w:color w:val="1A1A1A"/>
          <w:sz w:val="18"/>
          <w:szCs w:val="18"/>
        </w:rPr>
        <w:t xml:space="preserve">BLS  —  </w:t>
      </w:r>
      <w:r>
        <w:rPr>
          <w:rFonts w:ascii="Arial" w:cs="Arial" w:eastAsia="Arial" w:hAnsi="Arial"/>
          <w:color w:val="3D3D3D"/>
          <w:sz w:val="18"/>
          <w:szCs w:val="18"/>
        </w:rPr>
        <w:t xml:space="preserve">American Heart Association  |  Valid through March 2026</w:t>
      </w:r>
    </w:p>
    <w:p>
      <w:pPr>
        <w:spacing w:after="30" w:before="130"/>
      </w:pPr>
      <w:r>
        <w:rPr>
          <w:rFonts w:ascii="Arial" w:cs="Arial" w:eastAsia="Arial" w:hAnsi="Arial"/>
          <w:b/>
          <w:bCs/>
          <w:color w:val="1A6B4A"/>
          <w:sz w:val="19"/>
          <w:szCs w:val="19"/>
        </w:rPr>
        <w:t xml:space="preserve">PROFESSIONAL SUMMARY</w:t>
      </w:r>
    </w:p>
    <w:p>
      <w:pPr>
        <w:pBdr>
          <w:bottom w:val="single" w:color="1A6B4A" w:sz="4" w:space="1"/>
        </w:pBdr>
        <w:spacing w:after="60" w:before="0"/>
      </w:pPr>
    </w:p>
    <w:p>
      <w:pPr>
        <w:spacing w:after="30" w:before="30"/>
      </w:pPr>
      <w:r>
        <w:rPr>
          <w:rFonts w:ascii="Arial" w:cs="Arial" w:eastAsia="Arial" w:hAnsi="Arial"/>
          <w:color w:val="3D3D3D"/>
          <w:sz w:val="18"/>
          <w:szCs w:val="18"/>
        </w:rPr>
        <w:t xml:space="preserve">CCM-certified RN case manager with 5 years of experience at a 420-bed Level II trauma center, managing a daily caseload of 18 to 24 medical-surgical patients across discharge planning and utilization review. Proficient in Epic and InterQual; reduced average length of stay by 1.2 days over 12 months and maintained observation-status denials below the hospital benchmark for 3 consecutive quarters. Experienced in leading interdisciplinary rounds and coordinating post-acute referrals for high-complexity patients.</w:t>
      </w:r>
    </w:p>
    <w:p>
      <w:pPr>
        <w:spacing w:after="30" w:before="130"/>
      </w:pPr>
      <w:r>
        <w:rPr>
          <w:rFonts w:ascii="Arial" w:cs="Arial" w:eastAsia="Arial" w:hAnsi="Arial"/>
          <w:b/>
          <w:bCs/>
          <w:color w:val="1A6B4A"/>
          <w:sz w:val="19"/>
          <w:szCs w:val="19"/>
        </w:rPr>
        <w:t xml:space="preserve">SKILLS</w:t>
      </w:r>
    </w:p>
    <w:p>
      <w:pPr>
        <w:pBdr>
          <w:bottom w:val="single" w:color="1A6B4A" w:sz="4" w:space="1"/>
        </w:pBdr>
        <w:spacing w:after="60" w:before="0"/>
      </w:pPr>
    </w:p>
    <w:p>
      <w:pPr>
        <w:spacing w:after="22" w:before="22"/>
      </w:pPr>
      <w:r>
        <w:rPr>
          <w:rFonts w:ascii="Arial" w:cs="Arial" w:eastAsia="Arial" w:hAnsi="Arial"/>
          <w:b/>
          <w:bCs/>
          <w:color w:val="1A1A1A"/>
          <w:sz w:val="18"/>
          <w:szCs w:val="18"/>
        </w:rPr>
        <w:t xml:space="preserve">Case Management: </w:t>
      </w:r>
      <w:r>
        <w:rPr>
          <w:rFonts w:ascii="Arial" w:cs="Arial" w:eastAsia="Arial" w:hAnsi="Arial"/>
          <w:color w:val="3D3D3D"/>
          <w:sz w:val="18"/>
          <w:szCs w:val="18"/>
        </w:rPr>
        <w:t xml:space="preserve">Discharge planning, utilization review, care transitions, interdisciplinary rounds, post-acute referral management, patient education, risk stratification, patient advocacy</w:t>
      </w:r>
    </w:p>
    <w:p>
      <w:pPr>
        <w:spacing w:after="22" w:before="22"/>
      </w:pPr>
      <w:r>
        <w:rPr>
          <w:rFonts w:ascii="Arial" w:cs="Arial" w:eastAsia="Arial" w:hAnsi="Arial"/>
          <w:b/>
          <w:bCs/>
          <w:color w:val="1A1A1A"/>
          <w:sz w:val="18"/>
          <w:szCs w:val="18"/>
        </w:rPr>
        <w:t xml:space="preserve">Software &amp; Technology: </w:t>
      </w:r>
      <w:r>
        <w:rPr>
          <w:rFonts w:ascii="Arial" w:cs="Arial" w:eastAsia="Arial" w:hAnsi="Arial"/>
          <w:color w:val="3D3D3D"/>
          <w:sz w:val="18"/>
          <w:szCs w:val="18"/>
        </w:rPr>
        <w:t xml:space="preserve">Epic (care management &amp; discharge planning modules), InterQual, MCG criteria, Microsoft Office Suite</w:t>
      </w:r>
    </w:p>
    <w:p>
      <w:pPr>
        <w:spacing w:after="22" w:before="22"/>
      </w:pPr>
      <w:r>
        <w:rPr>
          <w:rFonts w:ascii="Arial" w:cs="Arial" w:eastAsia="Arial" w:hAnsi="Arial"/>
          <w:b/>
          <w:bCs/>
          <w:color w:val="1A1A1A"/>
          <w:sz w:val="18"/>
          <w:szCs w:val="18"/>
        </w:rPr>
        <w:t xml:space="preserve">Regulatory &amp; Payer: </w:t>
      </w:r>
      <w:r>
        <w:rPr>
          <w:rFonts w:ascii="Arial" w:cs="Arial" w:eastAsia="Arial" w:hAnsi="Arial"/>
          <w:color w:val="3D3D3D"/>
          <w:sz w:val="18"/>
          <w:szCs w:val="18"/>
        </w:rPr>
        <w:t xml:space="preserve">Medicare &amp; Medicaid coverage rules, Two-Midnight Rule, observation vs. inpatient status, CMS CoPs for discharge planning, commercial authorization, HIPAA, Joint Commission</w:t>
      </w:r>
    </w:p>
    <w:p>
      <w:pPr>
        <w:spacing w:after="22" w:before="22"/>
      </w:pPr>
      <w:r>
        <w:rPr>
          <w:rFonts w:ascii="Arial" w:cs="Arial" w:eastAsia="Arial" w:hAnsi="Arial"/>
          <w:b/>
          <w:bCs/>
          <w:color w:val="1A1A1A"/>
          <w:sz w:val="18"/>
          <w:szCs w:val="18"/>
        </w:rPr>
        <w:t xml:space="preserve">Communication: </w:t>
      </w:r>
      <w:r>
        <w:rPr>
          <w:rFonts w:ascii="Arial" w:cs="Arial" w:eastAsia="Arial" w:hAnsi="Arial"/>
          <w:color w:val="3D3D3D"/>
          <w:sz w:val="18"/>
          <w:szCs w:val="18"/>
        </w:rPr>
        <w:t xml:space="preserve">Rounds facilitation, family conferences, payer &amp; physician communication, SNF / home health referral coordination, denial management</w:t>
      </w:r>
    </w:p>
    <w:p>
      <w:pPr>
        <w:spacing w:after="30" w:before="130"/>
      </w:pPr>
      <w:r>
        <w:rPr>
          <w:rFonts w:ascii="Arial" w:cs="Arial" w:eastAsia="Arial" w:hAnsi="Arial"/>
          <w:b/>
          <w:bCs/>
          <w:color w:val="1A6B4A"/>
          <w:sz w:val="19"/>
          <w:szCs w:val="19"/>
        </w:rPr>
        <w:t xml:space="preserve">PROFESSIONAL EXPERIENCE</w:t>
      </w:r>
    </w:p>
    <w:p>
      <w:pPr>
        <w:pBdr>
          <w:bottom w:val="single" w:color="1A6B4A" w:sz="4" w:space="1"/>
        </w:pBdr>
        <w:spacing w:after="60" w:before="0"/>
      </w:pPr>
    </w:p>
    <w:p>
      <w:pPr>
        <w:spacing w:after="22" w:before="110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RN Case Manager</w:t>
      </w:r>
      <w:r>
        <w:rPr>
          <w:rFonts w:ascii="Arial" w:cs="Arial" w:eastAsia="Arial" w:hAnsi="Arial"/>
          <w:color w:val="666666"/>
          <w:sz w:val="18"/>
          <w:szCs w:val="18"/>
        </w:rPr>
        <w:t xml:space="preserve">  |  </w:t>
      </w:r>
      <w:r>
        <w:rPr>
          <w:rFonts w:ascii="Arial" w:cs="Arial" w:eastAsia="Arial" w:hAnsi="Arial"/>
          <w:b/>
          <w:bCs/>
          <w:color w:val="1A6B4A"/>
          <w:sz w:val="18"/>
          <w:szCs w:val="18"/>
        </w:rPr>
        <w:t xml:space="preserve">Northwestern Memorial Hospital</w:t>
      </w:r>
      <w:r>
        <w:rPr>
          <w:rFonts w:ascii="Arial" w:cs="Arial" w:eastAsia="Arial" w:hAnsi="Arial"/>
          <w:color w:val="666666"/>
          <w:sz w:val="18"/>
          <w:szCs w:val="18"/>
        </w:rPr>
        <w:t xml:space="preserve">  |  </w:t>
      </w:r>
      <w:r>
        <w:rPr>
          <w:rFonts w:ascii="Arial" w:cs="Arial" w:eastAsia="Arial" w:hAnsi="Arial"/>
          <w:color w:val="666666"/>
          <w:sz w:val="17"/>
          <w:szCs w:val="17"/>
        </w:rPr>
        <w:t xml:space="preserve">Chicago, IL  •  Feb 2022 – Present</w:t>
      </w:r>
    </w:p>
    <w:p>
      <w:pPr>
        <w:pStyle w:val="ListParagraph"/>
        <w:numPr>
          <w:ilvl w:val="0"/>
          <w:numId w:val="2"/>
        </w:numPr>
        <w:spacing w:after="16" w:before="16"/>
      </w:pPr>
      <w:r>
        <w:rPr>
          <w:rFonts w:ascii="Arial" w:cs="Arial" w:eastAsia="Arial" w:hAnsi="Arial"/>
          <w:color w:val="3D3D3D"/>
          <w:sz w:val="18"/>
          <w:szCs w:val="18"/>
        </w:rPr>
        <w:t xml:space="preserve">Managed a daily caseload of 18 to 24 acute medical-surgical patients, reducing average length of stay by 1.2 days over 12 months by initiating post-acute referral processes 48 to 72 hours earlier than the prior departmental standard.</w:t>
      </w:r>
    </w:p>
    <w:p>
      <w:pPr>
        <w:pStyle w:val="ListParagraph"/>
        <w:numPr>
          <w:ilvl w:val="0"/>
          <w:numId w:val="2"/>
        </w:numPr>
        <w:spacing w:after="16" w:before="16"/>
      </w:pPr>
      <w:r>
        <w:rPr>
          <w:rFonts w:ascii="Arial" w:cs="Arial" w:eastAsia="Arial" w:hAnsi="Arial"/>
          <w:color w:val="3D3D3D"/>
          <w:sz w:val="18"/>
          <w:szCs w:val="18"/>
        </w:rPr>
        <w:t xml:space="preserve">Completed InterQual-based utilization reviews for 20 to 28 cases daily, maintaining observation-status denials below the hospital benchmark for 3 consecutive quarters through proactive physician documentation queries.</w:t>
      </w:r>
    </w:p>
    <w:p>
      <w:pPr>
        <w:pStyle w:val="ListParagraph"/>
        <w:numPr>
          <w:ilvl w:val="0"/>
          <w:numId w:val="2"/>
        </w:numPr>
        <w:spacing w:after="16" w:before="16"/>
      </w:pPr>
      <w:r>
        <w:rPr>
          <w:rFonts w:ascii="Arial" w:cs="Arial" w:eastAsia="Arial" w:hAnsi="Arial"/>
          <w:color w:val="3D3D3D"/>
          <w:sz w:val="18"/>
          <w:szCs w:val="18"/>
        </w:rPr>
        <w:t xml:space="preserve">Coordinated 150+ SNF, home health, and inpatient rehab referrals annually with an average referral-to-placement turnaround of 1.4 days; led daily interdisciplinary rounds on two 28-bed units.</w:t>
      </w:r>
    </w:p>
    <w:p>
      <w:pPr>
        <w:pStyle w:val="ListParagraph"/>
        <w:numPr>
          <w:ilvl w:val="0"/>
          <w:numId w:val="2"/>
        </w:numPr>
        <w:spacing w:after="16" w:before="16"/>
      </w:pPr>
      <w:r>
        <w:rPr>
          <w:rFonts w:ascii="Arial" w:cs="Arial" w:eastAsia="Arial" w:hAnsi="Arial"/>
          <w:color w:val="3D3D3D"/>
          <w:sz w:val="18"/>
          <w:szCs w:val="18"/>
        </w:rPr>
        <w:t xml:space="preserve">Served as departmental InterQual super-user and trained 4 incoming case managers on criteria application and denial prevention documentation during onboarding.</w:t>
      </w:r>
    </w:p>
    <w:p>
      <w:pPr>
        <w:spacing w:after="22" w:before="110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Staff RN – Medical-Surgical / Telemetry</w:t>
      </w:r>
      <w:r>
        <w:rPr>
          <w:rFonts w:ascii="Arial" w:cs="Arial" w:eastAsia="Arial" w:hAnsi="Arial"/>
          <w:color w:val="666666"/>
          <w:sz w:val="18"/>
          <w:szCs w:val="18"/>
        </w:rPr>
        <w:t xml:space="preserve">  |  </w:t>
      </w:r>
      <w:r>
        <w:rPr>
          <w:rFonts w:ascii="Arial" w:cs="Arial" w:eastAsia="Arial" w:hAnsi="Arial"/>
          <w:b/>
          <w:bCs/>
          <w:color w:val="1A6B4A"/>
          <w:sz w:val="18"/>
          <w:szCs w:val="18"/>
        </w:rPr>
        <w:t xml:space="preserve">Rush University Medical Center</w:t>
      </w:r>
      <w:r>
        <w:rPr>
          <w:rFonts w:ascii="Arial" w:cs="Arial" w:eastAsia="Arial" w:hAnsi="Arial"/>
          <w:color w:val="666666"/>
          <w:sz w:val="18"/>
          <w:szCs w:val="18"/>
        </w:rPr>
        <w:t xml:space="preserve">  |  </w:t>
      </w:r>
      <w:r>
        <w:rPr>
          <w:rFonts w:ascii="Arial" w:cs="Arial" w:eastAsia="Arial" w:hAnsi="Arial"/>
          <w:color w:val="666666"/>
          <w:sz w:val="17"/>
          <w:szCs w:val="17"/>
        </w:rPr>
        <w:t xml:space="preserve">Chicago, IL  •  Jun 2019 – Jan 2022</w:t>
      </w:r>
    </w:p>
    <w:p>
      <w:pPr>
        <w:pStyle w:val="ListParagraph"/>
        <w:numPr>
          <w:ilvl w:val="0"/>
          <w:numId w:val="2"/>
        </w:numPr>
        <w:spacing w:after="16" w:before="16"/>
      </w:pPr>
      <w:r>
        <w:rPr>
          <w:rFonts w:ascii="Arial" w:cs="Arial" w:eastAsia="Arial" w:hAnsi="Arial"/>
          <w:color w:val="3D3D3D"/>
          <w:sz w:val="18"/>
          <w:szCs w:val="18"/>
        </w:rPr>
        <w:t xml:space="preserve">Cared for 5 to 6 acute medical-surgical and telemetry patients daily, collaborating with the case management team on discharge planning and flagging barriers to timely discharge during interdisciplinary rounds.</w:t>
      </w:r>
    </w:p>
    <w:p>
      <w:pPr>
        <w:pStyle w:val="ListParagraph"/>
        <w:numPr>
          <w:ilvl w:val="0"/>
          <w:numId w:val="2"/>
        </w:numPr>
        <w:spacing w:after="16" w:before="16"/>
      </w:pPr>
      <w:r>
        <w:rPr>
          <w:rFonts w:ascii="Arial" w:cs="Arial" w:eastAsia="Arial" w:hAnsi="Arial"/>
          <w:color w:val="3D3D3D"/>
          <w:sz w:val="18"/>
          <w:szCs w:val="18"/>
        </w:rPr>
        <w:t xml:space="preserve">Served on the unit patient education committee; contributed to a revised post-discharge instruction packet that reduced 30-day readmission follow-up calls by 14% in a pilot evaluation.</w:t>
      </w:r>
    </w:p>
    <w:p>
      <w:pPr>
        <w:pStyle w:val="ListParagraph"/>
        <w:numPr>
          <w:ilvl w:val="0"/>
          <w:numId w:val="2"/>
        </w:numPr>
        <w:spacing w:after="16" w:before="16"/>
      </w:pPr>
      <w:r>
        <w:rPr>
          <w:rFonts w:ascii="Arial" w:cs="Arial" w:eastAsia="Arial" w:hAnsi="Arial"/>
          <w:color w:val="3D3D3D"/>
          <w:sz w:val="18"/>
          <w:szCs w:val="18"/>
        </w:rPr>
        <w:t xml:space="preserve">Precepted 3 new graduate nurses over 2 years in clinical skills, documentation standards, and interdisciplinary communication.</w:t>
      </w:r>
    </w:p>
    <w:p>
      <w:pPr>
        <w:spacing w:after="30" w:before="130"/>
      </w:pPr>
      <w:r>
        <w:rPr>
          <w:rFonts w:ascii="Arial" w:cs="Arial" w:eastAsia="Arial" w:hAnsi="Arial"/>
          <w:b/>
          <w:bCs/>
          <w:color w:val="1A6B4A"/>
          <w:sz w:val="19"/>
          <w:szCs w:val="19"/>
        </w:rPr>
        <w:t xml:space="preserve">EDUCATION</w:t>
      </w:r>
    </w:p>
    <w:p>
      <w:pPr>
        <w:pBdr>
          <w:bottom w:val="single" w:color="1A6B4A" w:sz="4" w:space="1"/>
        </w:pBdr>
        <w:spacing w:after="60" w:before="0"/>
      </w:pPr>
    </w:p>
    <w:p>
      <w:pPr>
        <w:spacing w:after="22" w:before="110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Bachelor of Science in Nursing (BSN) — Magna Cum Laude</w:t>
      </w:r>
      <w:r>
        <w:rPr>
          <w:rFonts w:ascii="Arial" w:cs="Arial" w:eastAsia="Arial" w:hAnsi="Arial"/>
          <w:color w:val="666666"/>
          <w:sz w:val="18"/>
          <w:szCs w:val="18"/>
        </w:rPr>
        <w:t xml:space="preserve">  |  </w:t>
      </w:r>
      <w:r>
        <w:rPr>
          <w:rFonts w:ascii="Arial" w:cs="Arial" w:eastAsia="Arial" w:hAnsi="Arial"/>
          <w:b/>
          <w:bCs/>
          <w:color w:val="1A6B4A"/>
          <w:sz w:val="18"/>
          <w:szCs w:val="18"/>
        </w:rPr>
        <w:t xml:space="preserve">DePaul University</w:t>
      </w:r>
      <w:r>
        <w:rPr>
          <w:rFonts w:ascii="Arial" w:cs="Arial" w:eastAsia="Arial" w:hAnsi="Arial"/>
          <w:color w:val="666666"/>
          <w:sz w:val="18"/>
          <w:szCs w:val="18"/>
        </w:rPr>
        <w:t xml:space="preserve">  |  </w:t>
      </w:r>
      <w:r>
        <w:rPr>
          <w:rFonts w:ascii="Arial" w:cs="Arial" w:eastAsia="Arial" w:hAnsi="Arial"/>
          <w:color w:val="666666"/>
          <w:sz w:val="17"/>
          <w:szCs w:val="17"/>
        </w:rPr>
        <w:t xml:space="preserve">Chicago, IL  •  May 2019</w:t>
      </w:r>
    </w:p>
    <w:sectPr>
      <w:pgSz w:w="12240" w:h="15840" w:orient="portrait"/>
      <w:pgMar w:top="680" w:right="680" w:bottom="680" w:left="6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2026-06-21T19:19:52.451Z</dcterms:created>
  <dcterms:modified xsi:type="dcterms:W3CDTF">2026-06-21T19:19:52.451Z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