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50" w:before="0"/>
        <w:jc w:val="center"/>
      </w:pPr>
      <w:r>
        <w:rPr>
          <w:rFonts w:ascii="Arial" w:cs="Arial" w:eastAsia="Arial" w:hAnsi="Arial"/>
          <w:b/>
          <w:bCs/>
          <w:color w:val="1A6B4A"/>
          <w:sz w:val="52"/>
          <w:szCs w:val="52"/>
        </w:rPr>
        <w:t xml:space="preserve">Gavin Belson</w:t>
      </w:r>
    </w:p>
    <w:p>
      <w:pPr>
        <w:spacing w:after="40" w:before="0"/>
        <w:jc w:val="center"/>
      </w:pP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RN, CCM, ACM-RN  •  Senior Case Manager / Case Management Leader</w:t>
      </w:r>
    </w:p>
    <w:p>
      <w:pPr>
        <w:spacing w:after="90" w:before="0"/>
        <w:jc w:val="center"/>
      </w:pPr>
      <w:r>
        <w:rPr>
          <w:rFonts w:ascii="Arial" w:cs="Arial" w:eastAsia="Arial" w:hAnsi="Arial"/>
          <w:color w:val="666666"/>
          <w:sz w:val="18"/>
          <w:szCs w:val="18"/>
        </w:rPr>
        <w:t xml:space="preserve">gavin.belson@email.com  •  (415) 555-0182  •  Chicago, IL  •  linkedin.com/in/gavinbelson</w:t>
      </w:r>
    </w:p>
    <w:p>
      <w:pPr>
        <w:pBdr>
          <w:bottom w:val="single" w:color="1A6B4A" w:sz="14" w:space="2"/>
        </w:pBdr>
        <w:spacing w:after="120" w:before="0"/>
      </w:pPr>
    </w:p>
    <w:p>
      <w:pPr>
        <w:spacing w:after="40" w:before="200"/>
      </w:pPr>
      <w:r>
        <w:rPr>
          <w:rFonts w:ascii="Arial" w:cs="Arial" w:eastAsia="Arial" w:hAnsi="Arial"/>
          <w:b/>
          <w:bCs/>
          <w:color w:val="1A6B4A"/>
          <w:sz w:val="21"/>
          <w:szCs w:val="21"/>
        </w:rPr>
        <w:t xml:space="preserve">LICENSURE &amp; CREDENTIALS</w:t>
      </w:r>
    </w:p>
    <w:p>
      <w:pPr>
        <w:pBdr>
          <w:bottom w:val="single" w:color="1A6B4A" w:sz="5" w:space="2"/>
        </w:pBdr>
        <w:spacing w:after="80" w:before="0"/>
      </w:pPr>
    </w:p>
    <w:p>
      <w:pPr>
        <w:spacing w:after="28" w:before="28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CCM  —  </w:t>
      </w:r>
      <w:r>
        <w:rPr>
          <w:rFonts w:ascii="Arial" w:cs="Arial" w:eastAsia="Arial" w:hAnsi="Arial"/>
          <w:color w:val="3D3D3D"/>
          <w:sz w:val="19"/>
          <w:szCs w:val="19"/>
        </w:rPr>
        <w:t xml:space="preserve">Commission for Case Manager Certification  |  Valid through November 2027</w:t>
      </w:r>
    </w:p>
    <w:p>
      <w:pPr>
        <w:spacing w:after="28" w:before="28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ACM-RN  —  </w:t>
      </w:r>
      <w:r>
        <w:rPr>
          <w:rFonts w:ascii="Arial" w:cs="Arial" w:eastAsia="Arial" w:hAnsi="Arial"/>
          <w:color w:val="3D3D3D"/>
          <w:sz w:val="19"/>
          <w:szCs w:val="19"/>
        </w:rPr>
        <w:t xml:space="preserve">American Case Management Association  |  Valid through November 2026</w:t>
      </w:r>
    </w:p>
    <w:p>
      <w:pPr>
        <w:spacing w:after="28" w:before="28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RN  —  </w:t>
      </w:r>
      <w:r>
        <w:rPr>
          <w:rFonts w:ascii="Arial" w:cs="Arial" w:eastAsia="Arial" w:hAnsi="Arial"/>
          <w:color w:val="3D3D3D"/>
          <w:sz w:val="19"/>
          <w:szCs w:val="19"/>
        </w:rPr>
        <w:t xml:space="preserve">Illinois Department of Financial &amp; Professional Regulation  |  License #: 041-221038  |  Active</w:t>
      </w:r>
    </w:p>
    <w:p>
      <w:pPr>
        <w:spacing w:after="28" w:before="28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BLS  —  </w:t>
      </w:r>
      <w:r>
        <w:rPr>
          <w:rFonts w:ascii="Arial" w:cs="Arial" w:eastAsia="Arial" w:hAnsi="Arial"/>
          <w:color w:val="3D3D3D"/>
          <w:sz w:val="19"/>
          <w:szCs w:val="19"/>
        </w:rPr>
        <w:t xml:space="preserve">American Heart Association  |  Valid through January 2026</w:t>
      </w:r>
    </w:p>
    <w:p>
      <w:pPr>
        <w:spacing w:after="40" w:before="40"/>
      </w:pPr>
      <w:r>
        <w:rPr>
          <w:rFonts w:ascii="Arial" w:cs="Arial" w:eastAsia="Arial" w:hAnsi="Arial"/>
          <w:color w:val="3D3D3D"/>
          <w:sz w:val="19"/>
          <w:szCs w:val="19"/>
        </w:rPr>
        <w:t xml:space="preserve">Continuing Education: 72 CE hours completed in current 5-year CCM renewal cycle, including 24 hours in utilization management, care transitions, and payer relations</w:t>
      </w:r>
    </w:p>
    <w:p>
      <w:pPr>
        <w:spacing w:after="40" w:before="200"/>
      </w:pPr>
      <w:r>
        <w:rPr>
          <w:rFonts w:ascii="Arial" w:cs="Arial" w:eastAsia="Arial" w:hAnsi="Arial"/>
          <w:b/>
          <w:bCs/>
          <w:color w:val="1A6B4A"/>
          <w:sz w:val="21"/>
          <w:szCs w:val="21"/>
        </w:rPr>
        <w:t xml:space="preserve">PROFESSIONAL SUMMARY</w:t>
      </w:r>
    </w:p>
    <w:p>
      <w:pPr>
        <w:pBdr>
          <w:bottom w:val="single" w:color="1A6B4A" w:sz="5" w:space="2"/>
        </w:pBdr>
        <w:spacing w:after="80" w:before="0"/>
      </w:pPr>
    </w:p>
    <w:p>
      <w:pPr>
        <w:spacing w:after="40" w:before="40"/>
      </w:pPr>
      <w:r>
        <w:rPr>
          <w:rFonts w:ascii="Arial" w:cs="Arial" w:eastAsia="Arial" w:hAnsi="Arial"/>
          <w:color w:val="3D3D3D"/>
          <w:sz w:val="19"/>
          <w:szCs w:val="19"/>
        </w:rPr>
        <w:t xml:space="preserve">Senior RN case manager with 11 years of experience across acute care hospital and managed care payer settings, holding dual CCM and ACM-RN certification. Expertise spans discharge planning, utilization review, complex care management, payer relations, and population health program leadership. Led a 9-member case management team at a 560-bed academic medical center, reducing average length of stay by 1.6 days and 30-day readmission rates by 21% over two years. Skilled in Epic, InterQual, and MCG criteria, with deep working knowledge of Medicare and Medicaid coverage rules, CMS discharge planning Conditions of Participation, and the Two-Midnight Rule. Known for building cross-disciplinary relationships, closing payer communication gaps, and mentoring high-performing case management teams.</w:t>
      </w:r>
    </w:p>
    <w:p>
      <w:pPr>
        <w:spacing w:after="40" w:before="200"/>
      </w:pPr>
      <w:r>
        <w:rPr>
          <w:rFonts w:ascii="Arial" w:cs="Arial" w:eastAsia="Arial" w:hAnsi="Arial"/>
          <w:b/>
          <w:bCs/>
          <w:color w:val="1A6B4A"/>
          <w:sz w:val="21"/>
          <w:szCs w:val="21"/>
        </w:rPr>
        <w:t xml:space="preserve">CORE COMPETENCIES</w:t>
      </w:r>
    </w:p>
    <w:p>
      <w:pPr>
        <w:pBdr>
          <w:bottom w:val="single" w:color="1A6B4A" w:sz="5" w:space="2"/>
        </w:pBdr>
        <w:spacing w:after="80" w:before="0"/>
      </w:pPr>
    </w:p>
    <w:p>
      <w:pPr>
        <w:spacing w:after="28" w:before="28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Case Management &amp; Clinical Leadership: </w:t>
      </w:r>
      <w:r>
        <w:rPr>
          <w:rFonts w:ascii="Arial" w:cs="Arial" w:eastAsia="Arial" w:hAnsi="Arial"/>
          <w:color w:val="3D3D3D"/>
          <w:sz w:val="19"/>
          <w:szCs w:val="19"/>
        </w:rPr>
        <w:t xml:space="preserve">Discharge planning, utilization review and management, care transitions, complex care management, risk stratification, chronic disease management, population health program oversight, staff mentorship and team leadership, quality improvement, denial management</w:t>
      </w:r>
    </w:p>
    <w:p>
      <w:pPr>
        <w:spacing w:after="28" w:before="28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Software &amp; Clinical Technology: </w:t>
      </w:r>
      <w:r>
        <w:rPr>
          <w:rFonts w:ascii="Arial" w:cs="Arial" w:eastAsia="Arial" w:hAnsi="Arial"/>
          <w:color w:val="3D3D3D"/>
          <w:sz w:val="19"/>
          <w:szCs w:val="19"/>
        </w:rPr>
        <w:t xml:space="preserve">Epic (care management and UR modules), InterQual, MCG criteria, Cerner (read-only), population health platforms, Microsoft Office Suite (Excel – pivot tables, data validation), Zoom, telehealth coordination platforms</w:t>
      </w:r>
    </w:p>
    <w:p>
      <w:pPr>
        <w:spacing w:after="28" w:before="28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Regulatory &amp; Payer Knowledge: </w:t>
      </w:r>
      <w:r>
        <w:rPr>
          <w:rFonts w:ascii="Arial" w:cs="Arial" w:eastAsia="Arial" w:hAnsi="Arial"/>
          <w:color w:val="3D3D3D"/>
          <w:sz w:val="19"/>
          <w:szCs w:val="19"/>
        </w:rPr>
        <w:t xml:space="preserve">Medicare and Medicaid coverage rules, CMS Conditions of Participation for discharge planning, Two-Midnight Rule, observation vs. inpatient status, commercial and managed care authorization, NCQA and URAC standards, HIPAA, CMS star ratings, Joint Commission</w:t>
      </w:r>
    </w:p>
    <w:p>
      <w:pPr>
        <w:spacing w:after="28" w:before="28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Communication &amp; Stakeholder Relations: </w:t>
      </w:r>
      <w:r>
        <w:rPr>
          <w:rFonts w:ascii="Arial" w:cs="Arial" w:eastAsia="Arial" w:hAnsi="Arial"/>
          <w:color w:val="3D3D3D"/>
          <w:sz w:val="19"/>
          <w:szCs w:val="19"/>
        </w:rPr>
        <w:t xml:space="preserve">Interdisciplinary rounds leadership, payer and utilization director communication, family conferencing, denial appeals, physician advisor collaboration, community partner liaison, staff training and onboarding, quality data reporting</w:t>
      </w:r>
    </w:p>
    <w:p>
      <w:pPr>
        <w:spacing w:after="40" w:before="200"/>
      </w:pPr>
      <w:r>
        <w:rPr>
          <w:rFonts w:ascii="Arial" w:cs="Arial" w:eastAsia="Arial" w:hAnsi="Arial"/>
          <w:b/>
          <w:bCs/>
          <w:color w:val="1A6B4A"/>
          <w:sz w:val="21"/>
          <w:szCs w:val="21"/>
        </w:rPr>
        <w:t xml:space="preserve">PROFESSIONAL EXPERIENCE</w:t>
      </w:r>
    </w:p>
    <w:p>
      <w:pPr>
        <w:pBdr>
          <w:bottom w:val="single" w:color="1A6B4A" w:sz="5" w:space="2"/>
        </w:pBdr>
        <w:spacing w:after="80" w:before="0"/>
      </w:pPr>
    </w:p>
    <w:p>
      <w:pPr>
        <w:spacing w:after="30" w:before="16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Lead RN Case Manager / Case Management Team Lead</w:t>
      </w:r>
      <w:r>
        <w:rPr>
          <w:rFonts w:ascii="Arial" w:cs="Arial" w:eastAsia="Arial" w:hAnsi="Arial"/>
          <w:color w:val="666666"/>
          <w:sz w:val="20"/>
          <w:szCs w:val="20"/>
        </w:rPr>
        <w:t xml:space="preserve">  |  </w:t>
      </w:r>
      <w:r>
        <w:rPr>
          <w:rFonts w:ascii="Arial" w:cs="Arial" w:eastAsia="Arial" w:hAnsi="Arial"/>
          <w:b/>
          <w:bCs/>
          <w:color w:val="1A6B4A"/>
          <w:sz w:val="20"/>
          <w:szCs w:val="20"/>
        </w:rPr>
        <w:t xml:space="preserve">University of Chicago Medical Center</w:t>
      </w:r>
      <w:r>
        <w:rPr>
          <w:rFonts w:ascii="Arial" w:cs="Arial" w:eastAsia="Arial" w:hAnsi="Arial"/>
          <w:color w:val="666666"/>
          <w:sz w:val="20"/>
          <w:szCs w:val="20"/>
        </w:rPr>
        <w:t xml:space="preserve">  |  </w:t>
      </w:r>
      <w:r>
        <w:rPr>
          <w:rFonts w:ascii="Arial" w:cs="Arial" w:eastAsia="Arial" w:hAnsi="Arial"/>
          <w:color w:val="666666"/>
          <w:sz w:val="19"/>
          <w:szCs w:val="19"/>
        </w:rPr>
        <w:t xml:space="preserve">Chicago, IL  •  Mar 2019 – Present</w:t>
      </w:r>
    </w:p>
    <w:p>
      <w:pPr>
        <w:pStyle w:val="ListParagraph"/>
        <w:numPr>
          <w:ilvl w:val="0"/>
          <w:numId w:val="2"/>
        </w:numPr>
        <w:spacing w:after="24" w:before="24"/>
      </w:pPr>
      <w:r>
        <w:rPr>
          <w:rFonts w:ascii="Arial" w:cs="Arial" w:eastAsia="Arial" w:hAnsi="Arial"/>
          <w:color w:val="3D3D3D"/>
          <w:sz w:val="19"/>
          <w:szCs w:val="19"/>
        </w:rPr>
        <w:t xml:space="preserve">Led a 9-member case management team across two acute care units at a 560-bed academic medical center, overseeing daily caseload distribution, performance monitoring, and team development for a combined patient census of 160 to 180.</w:t>
      </w:r>
    </w:p>
    <w:p>
      <w:pPr>
        <w:pStyle w:val="ListParagraph"/>
        <w:numPr>
          <w:ilvl w:val="0"/>
          <w:numId w:val="2"/>
        </w:numPr>
        <w:spacing w:after="24" w:before="24"/>
      </w:pPr>
      <w:r>
        <w:rPr>
          <w:rFonts w:ascii="Arial" w:cs="Arial" w:eastAsia="Arial" w:hAnsi="Arial"/>
          <w:color w:val="3D3D3D"/>
          <w:sz w:val="19"/>
          <w:szCs w:val="19"/>
        </w:rPr>
        <w:t xml:space="preserve">Reduced average length of stay by 1.6 days over 24 months by redesigning the discharge planning initiation protocol to begin within 4 hours of admission rather than the prior 24-hour standard, adopted system-wide after pilot results.</w:t>
      </w:r>
    </w:p>
    <w:p>
      <w:pPr>
        <w:pStyle w:val="ListParagraph"/>
        <w:numPr>
          <w:ilvl w:val="0"/>
          <w:numId w:val="2"/>
        </w:numPr>
        <w:spacing w:after="24" w:before="24"/>
      </w:pPr>
      <w:r>
        <w:rPr>
          <w:rFonts w:ascii="Arial" w:cs="Arial" w:eastAsia="Arial" w:hAnsi="Arial"/>
          <w:color w:val="3D3D3D"/>
          <w:sz w:val="19"/>
          <w:szCs w:val="19"/>
        </w:rPr>
        <w:t xml:space="preserve">Decreased 30-day all-cause readmission rate from 18.4% to 14.5% over two years by implementing a structured post-discharge follow-up call program covering 100% of high-risk discharges within 48 hours.</w:t>
      </w:r>
    </w:p>
    <w:p>
      <w:pPr>
        <w:pStyle w:val="ListParagraph"/>
        <w:numPr>
          <w:ilvl w:val="0"/>
          <w:numId w:val="2"/>
        </w:numPr>
        <w:spacing w:after="24" w:before="24"/>
      </w:pPr>
      <w:r>
        <w:rPr>
          <w:rFonts w:ascii="Arial" w:cs="Arial" w:eastAsia="Arial" w:hAnsi="Arial"/>
          <w:color w:val="3D3D3D"/>
          <w:sz w:val="19"/>
          <w:szCs w:val="19"/>
        </w:rPr>
        <w:t xml:space="preserve">Managed a personal daily caseload of 16 to 20 complex medical patients, including high-acuity cases involving homelessness, SMI, and medically fragile post-acute needs requiring multi-agency coordination.</w:t>
      </w:r>
    </w:p>
    <w:p>
      <w:pPr>
        <w:pStyle w:val="ListParagraph"/>
        <w:numPr>
          <w:ilvl w:val="0"/>
          <w:numId w:val="2"/>
        </w:numPr>
        <w:spacing w:after="24" w:before="24"/>
      </w:pPr>
      <w:r>
        <w:rPr>
          <w:rFonts w:ascii="Arial" w:cs="Arial" w:eastAsia="Arial" w:hAnsi="Arial"/>
          <w:color w:val="3D3D3D"/>
          <w:sz w:val="19"/>
          <w:szCs w:val="19"/>
        </w:rPr>
        <w:t xml:space="preserve">Oversaw 300+ SNF, LTAC, inpatient rehab, and home health referrals annually, negotiating placement for complex patients within an average of 1.8 days and reducing placement delays flagged in monthly operations reports by 31%.</w:t>
      </w:r>
    </w:p>
    <w:p>
      <w:pPr>
        <w:pStyle w:val="ListParagraph"/>
        <w:numPr>
          <w:ilvl w:val="0"/>
          <w:numId w:val="2"/>
        </w:numPr>
        <w:spacing w:after="24" w:before="24"/>
      </w:pPr>
      <w:r>
        <w:rPr>
          <w:rFonts w:ascii="Arial" w:cs="Arial" w:eastAsia="Arial" w:hAnsi="Arial"/>
          <w:color w:val="3D3D3D"/>
          <w:sz w:val="19"/>
          <w:szCs w:val="19"/>
        </w:rPr>
        <w:t xml:space="preserve">Led denial management process for the unit, authoring physician-advisor-supported appeal letters that resulted in a 68% overturn rate on initial payer denials over the most recent 12-month period.</w:t>
      </w:r>
    </w:p>
    <w:p>
      <w:pPr>
        <w:pStyle w:val="ListParagraph"/>
        <w:numPr>
          <w:ilvl w:val="0"/>
          <w:numId w:val="2"/>
        </w:numPr>
        <w:spacing w:after="24" w:before="24"/>
      </w:pPr>
      <w:r>
        <w:rPr>
          <w:rFonts w:ascii="Arial" w:cs="Arial" w:eastAsia="Arial" w:hAnsi="Arial"/>
          <w:color w:val="3D3D3D"/>
          <w:sz w:val="19"/>
          <w:szCs w:val="19"/>
        </w:rPr>
        <w:t xml:space="preserve">Mentored and formally precepted 6 new case managers over 4 years, developing a 60-day onboarding curriculum that reduced time-to-independent-caseload from 10 weeks to 6 weeks.</w:t>
      </w:r>
    </w:p>
    <w:p>
      <w:pPr>
        <w:spacing w:after="30" w:before="16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Senior Case Manager – Utilization Management</w:t>
      </w:r>
      <w:r>
        <w:rPr>
          <w:rFonts w:ascii="Arial" w:cs="Arial" w:eastAsia="Arial" w:hAnsi="Arial"/>
          <w:color w:val="666666"/>
          <w:sz w:val="20"/>
          <w:szCs w:val="20"/>
        </w:rPr>
        <w:t xml:space="preserve">  |  </w:t>
      </w:r>
      <w:r>
        <w:rPr>
          <w:rFonts w:ascii="Arial" w:cs="Arial" w:eastAsia="Arial" w:hAnsi="Arial"/>
          <w:b/>
          <w:bCs/>
          <w:color w:val="1A6B4A"/>
          <w:sz w:val="20"/>
          <w:szCs w:val="20"/>
        </w:rPr>
        <w:t xml:space="preserve">Centene Corporation – IlliniCare Health Plan</w:t>
      </w:r>
      <w:r>
        <w:rPr>
          <w:rFonts w:ascii="Arial" w:cs="Arial" w:eastAsia="Arial" w:hAnsi="Arial"/>
          <w:color w:val="666666"/>
          <w:sz w:val="20"/>
          <w:szCs w:val="20"/>
        </w:rPr>
        <w:t xml:space="preserve">  |  </w:t>
      </w:r>
      <w:r>
        <w:rPr>
          <w:rFonts w:ascii="Arial" w:cs="Arial" w:eastAsia="Arial" w:hAnsi="Arial"/>
          <w:color w:val="666666"/>
          <w:sz w:val="19"/>
          <w:szCs w:val="19"/>
        </w:rPr>
        <w:t xml:space="preserve">Chicago, IL  •  Aug 2015 – Feb 2019</w:t>
      </w:r>
    </w:p>
    <w:p>
      <w:pPr>
        <w:pStyle w:val="ListParagraph"/>
        <w:numPr>
          <w:ilvl w:val="0"/>
          <w:numId w:val="2"/>
        </w:numPr>
        <w:spacing w:after="24" w:before="24"/>
      </w:pPr>
      <w:r>
        <w:rPr>
          <w:rFonts w:ascii="Arial" w:cs="Arial" w:eastAsia="Arial" w:hAnsi="Arial"/>
          <w:color w:val="3D3D3D"/>
          <w:sz w:val="19"/>
          <w:szCs w:val="19"/>
        </w:rPr>
        <w:t xml:space="preserve">Reviewed 30 to 40 prior authorization and concurrent review cases daily against MCG criteria for a Medicaid managed care population of 180,000 members, maintaining 99% turnaround compliance within contractual timeframes across 15 consecutive quarters.</w:t>
      </w:r>
    </w:p>
    <w:p>
      <w:pPr>
        <w:pStyle w:val="ListParagraph"/>
        <w:numPr>
          <w:ilvl w:val="0"/>
          <w:numId w:val="2"/>
        </w:numPr>
        <w:spacing w:after="24" w:before="24"/>
      </w:pPr>
      <w:r>
        <w:rPr>
          <w:rFonts w:ascii="Arial" w:cs="Arial" w:eastAsia="Arial" w:hAnsi="Arial"/>
          <w:color w:val="3D3D3D"/>
          <w:sz w:val="19"/>
          <w:szCs w:val="19"/>
        </w:rPr>
        <w:t xml:space="preserve">Enrolled 70+ high-risk members annually in complex care management programming and reduced 30-day readmissions in that cohort from 22% to 13% over 18 months through structured care planning, medication reconciliation support, and provider follow-up coordination.</w:t>
      </w:r>
    </w:p>
    <w:p>
      <w:pPr>
        <w:pStyle w:val="ListParagraph"/>
        <w:numPr>
          <w:ilvl w:val="0"/>
          <w:numId w:val="2"/>
        </w:numPr>
        <w:spacing w:after="24" w:before="24"/>
      </w:pPr>
      <w:r>
        <w:rPr>
          <w:rFonts w:ascii="Arial" w:cs="Arial" w:eastAsia="Arial" w:hAnsi="Arial"/>
          <w:color w:val="3D3D3D"/>
          <w:sz w:val="19"/>
          <w:szCs w:val="19"/>
        </w:rPr>
        <w:t xml:space="preserve">Collaborated with the payer's medical director and physician advisors on complex case reviews, providing clinical rationale supporting authorization decisions and contributing to a 25% reduction in escalated appeals year-over-year.</w:t>
      </w:r>
    </w:p>
    <w:p>
      <w:pPr>
        <w:pStyle w:val="ListParagraph"/>
        <w:numPr>
          <w:ilvl w:val="0"/>
          <w:numId w:val="2"/>
        </w:numPr>
        <w:spacing w:after="24" w:before="24"/>
      </w:pPr>
      <w:r>
        <w:rPr>
          <w:rFonts w:ascii="Arial" w:cs="Arial" w:eastAsia="Arial" w:hAnsi="Arial"/>
          <w:color w:val="3D3D3D"/>
          <w:sz w:val="19"/>
          <w:szCs w:val="19"/>
        </w:rPr>
        <w:t xml:space="preserve">Conducted telephonic outreach and care plan development for members with diabetes, CHF, and COPD as part of the plan's chronic disease management program, achieving an 82% engagement rate among targeted high-risk members.</w:t>
      </w:r>
    </w:p>
    <w:p>
      <w:pPr>
        <w:spacing w:after="30" w:before="16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RN Case Manager</w:t>
      </w:r>
      <w:r>
        <w:rPr>
          <w:rFonts w:ascii="Arial" w:cs="Arial" w:eastAsia="Arial" w:hAnsi="Arial"/>
          <w:color w:val="666666"/>
          <w:sz w:val="20"/>
          <w:szCs w:val="20"/>
        </w:rPr>
        <w:t xml:space="preserve">  |  </w:t>
      </w:r>
      <w:r>
        <w:rPr>
          <w:rFonts w:ascii="Arial" w:cs="Arial" w:eastAsia="Arial" w:hAnsi="Arial"/>
          <w:b/>
          <w:bCs/>
          <w:color w:val="1A6B4A"/>
          <w:sz w:val="20"/>
          <w:szCs w:val="20"/>
        </w:rPr>
        <w:t xml:space="preserve">Advocate Christ Medical Center</w:t>
      </w:r>
      <w:r>
        <w:rPr>
          <w:rFonts w:ascii="Arial" w:cs="Arial" w:eastAsia="Arial" w:hAnsi="Arial"/>
          <w:color w:val="666666"/>
          <w:sz w:val="20"/>
          <w:szCs w:val="20"/>
        </w:rPr>
        <w:t xml:space="preserve">  |  </w:t>
      </w:r>
      <w:r>
        <w:rPr>
          <w:rFonts w:ascii="Arial" w:cs="Arial" w:eastAsia="Arial" w:hAnsi="Arial"/>
          <w:color w:val="666666"/>
          <w:sz w:val="19"/>
          <w:szCs w:val="19"/>
        </w:rPr>
        <w:t xml:space="preserve">Oak Lawn, IL  •  Jun 2013 – Jul 2015</w:t>
      </w:r>
    </w:p>
    <w:p>
      <w:pPr>
        <w:pStyle w:val="ListParagraph"/>
        <w:numPr>
          <w:ilvl w:val="0"/>
          <w:numId w:val="2"/>
        </w:numPr>
        <w:spacing w:after="24" w:before="24"/>
      </w:pPr>
      <w:r>
        <w:rPr>
          <w:rFonts w:ascii="Arial" w:cs="Arial" w:eastAsia="Arial" w:hAnsi="Arial"/>
          <w:color w:val="3D3D3D"/>
          <w:sz w:val="19"/>
          <w:szCs w:val="19"/>
        </w:rPr>
        <w:t xml:space="preserve">Managed a daily caseload of 20 to 24 medical-surgical patients at a 694-bed regional medical center, coordinating discharge planning and utilization review across cardiology, oncology, and general medicine units.</w:t>
      </w:r>
    </w:p>
    <w:p>
      <w:pPr>
        <w:pStyle w:val="ListParagraph"/>
        <w:numPr>
          <w:ilvl w:val="0"/>
          <w:numId w:val="2"/>
        </w:numPr>
        <w:spacing w:after="24" w:before="24"/>
      </w:pPr>
      <w:r>
        <w:rPr>
          <w:rFonts w:ascii="Arial" w:cs="Arial" w:eastAsia="Arial" w:hAnsi="Arial"/>
          <w:color w:val="3D3D3D"/>
          <w:sz w:val="19"/>
          <w:szCs w:val="19"/>
        </w:rPr>
        <w:t xml:space="preserve">Completed InterQual-based utilization reviews for 22 to 28 cases daily and maintained observation-status denials below the hospital benchmark in 10 of 12 measured quarters.</w:t>
      </w:r>
    </w:p>
    <w:p>
      <w:pPr>
        <w:pStyle w:val="ListParagraph"/>
        <w:numPr>
          <w:ilvl w:val="0"/>
          <w:numId w:val="2"/>
        </w:numPr>
        <w:spacing w:after="24" w:before="24"/>
      </w:pPr>
      <w:r>
        <w:rPr>
          <w:rFonts w:ascii="Arial" w:cs="Arial" w:eastAsia="Arial" w:hAnsi="Arial"/>
          <w:color w:val="3D3D3D"/>
          <w:sz w:val="19"/>
          <w:szCs w:val="19"/>
        </w:rPr>
        <w:t xml:space="preserve">Coordinated 180+ post-acute referrals annually, including SNF, home health, and outpatient therapy placements, averaging a 1.6-day referral-to-placement cycle for uncomplicated discharges.</w:t>
      </w:r>
    </w:p>
    <w:p>
      <w:pPr>
        <w:spacing w:after="40" w:before="200"/>
      </w:pPr>
      <w:r>
        <w:rPr>
          <w:rFonts w:ascii="Arial" w:cs="Arial" w:eastAsia="Arial" w:hAnsi="Arial"/>
          <w:b/>
          <w:bCs/>
          <w:color w:val="1A6B4A"/>
          <w:sz w:val="21"/>
          <w:szCs w:val="21"/>
        </w:rPr>
        <w:t xml:space="preserve">EDUCATION</w:t>
      </w:r>
    </w:p>
    <w:p>
      <w:pPr>
        <w:pBdr>
          <w:bottom w:val="single" w:color="1A6B4A" w:sz="5" w:space="2"/>
        </w:pBdr>
        <w:spacing w:after="80" w:before="0"/>
      </w:pPr>
    </w:p>
    <w:p>
      <w:pPr>
        <w:spacing w:after="30" w:before="16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Bachelor of Science in Nursing (BSN)</w:t>
      </w:r>
      <w:r>
        <w:rPr>
          <w:rFonts w:ascii="Arial" w:cs="Arial" w:eastAsia="Arial" w:hAnsi="Arial"/>
          <w:color w:val="666666"/>
          <w:sz w:val="20"/>
          <w:szCs w:val="20"/>
        </w:rPr>
        <w:t xml:space="preserve">  |  </w:t>
      </w:r>
      <w:r>
        <w:rPr>
          <w:rFonts w:ascii="Arial" w:cs="Arial" w:eastAsia="Arial" w:hAnsi="Arial"/>
          <w:b/>
          <w:bCs/>
          <w:color w:val="1A6B4A"/>
          <w:sz w:val="20"/>
          <w:szCs w:val="20"/>
        </w:rPr>
        <w:t xml:space="preserve">University of Illinois Chicago College of Nursing</w:t>
      </w:r>
      <w:r>
        <w:rPr>
          <w:rFonts w:ascii="Arial" w:cs="Arial" w:eastAsia="Arial" w:hAnsi="Arial"/>
          <w:color w:val="666666"/>
          <w:sz w:val="20"/>
          <w:szCs w:val="20"/>
        </w:rPr>
        <w:t xml:space="preserve">  |  </w:t>
      </w:r>
      <w:r>
        <w:rPr>
          <w:rFonts w:ascii="Arial" w:cs="Arial" w:eastAsia="Arial" w:hAnsi="Arial"/>
          <w:color w:val="666666"/>
          <w:sz w:val="19"/>
          <w:szCs w:val="19"/>
        </w:rPr>
        <w:t xml:space="preserve">Chicago, IL  •  Graduated May 2013</w:t>
      </w:r>
    </w:p>
    <w:p>
      <w:pPr>
        <w:spacing w:after="40" w:before="40"/>
      </w:pPr>
      <w:r>
        <w:rPr>
          <w:rFonts w:ascii="Arial" w:cs="Arial" w:eastAsia="Arial" w:hAnsi="Arial"/>
          <w:color w:val="3D3D3D"/>
          <w:sz w:val="19"/>
          <w:szCs w:val="19"/>
        </w:rPr>
        <w:t xml:space="preserve">Summa Cum Laude  •  GPA: 3.91</w:t>
      </w:r>
    </w:p>
    <w:p>
      <w:pPr>
        <w:spacing w:after="40" w:before="200"/>
      </w:pPr>
      <w:r>
        <w:rPr>
          <w:rFonts w:ascii="Arial" w:cs="Arial" w:eastAsia="Arial" w:hAnsi="Arial"/>
          <w:b/>
          <w:bCs/>
          <w:color w:val="1A6B4A"/>
          <w:sz w:val="21"/>
          <w:szCs w:val="21"/>
        </w:rPr>
        <w:t xml:space="preserve">PROFESSIONAL AFFILIATIONS</w:t>
      </w:r>
    </w:p>
    <w:p>
      <w:pPr>
        <w:pBdr>
          <w:bottom w:val="single" w:color="1A6B4A" w:sz="5" w:space="2"/>
        </w:pBdr>
        <w:spacing w:after="80" w:before="0"/>
      </w:pPr>
    </w:p>
    <w:p>
      <w:pPr>
        <w:pStyle w:val="ListParagraph"/>
        <w:numPr>
          <w:ilvl w:val="0"/>
          <w:numId w:val="2"/>
        </w:numPr>
        <w:spacing w:after="24" w:before="24"/>
      </w:pPr>
      <w:r>
        <w:rPr>
          <w:rFonts w:ascii="Arial" w:cs="Arial" w:eastAsia="Arial" w:hAnsi="Arial"/>
          <w:color w:val="3D3D3D"/>
          <w:sz w:val="19"/>
          <w:szCs w:val="19"/>
        </w:rPr>
        <w:t xml:space="preserve">American Case Management Association (ACMA) – Member since 2014; Chicago Chapter Program Committee, 2021–Present</w:t>
      </w:r>
    </w:p>
    <w:p>
      <w:pPr>
        <w:pStyle w:val="ListParagraph"/>
        <w:numPr>
          <w:ilvl w:val="0"/>
          <w:numId w:val="2"/>
        </w:numPr>
        <w:spacing w:after="24" w:before="24"/>
      </w:pPr>
      <w:r>
        <w:rPr>
          <w:rFonts w:ascii="Arial" w:cs="Arial" w:eastAsia="Arial" w:hAnsi="Arial"/>
          <w:color w:val="3D3D3D"/>
          <w:sz w:val="19"/>
          <w:szCs w:val="19"/>
        </w:rPr>
        <w:t xml:space="preserve">Commission for Case Manager Certification (CCMC) – Credentialed member, CCM renewal cycle 2022–2027</w:t>
      </w:r>
    </w:p>
    <w:p>
      <w:pPr>
        <w:pStyle w:val="ListParagraph"/>
        <w:numPr>
          <w:ilvl w:val="0"/>
          <w:numId w:val="2"/>
        </w:numPr>
        <w:spacing w:after="24" w:before="24"/>
      </w:pPr>
      <w:r>
        <w:rPr>
          <w:rFonts w:ascii="Arial" w:cs="Arial" w:eastAsia="Arial" w:hAnsi="Arial"/>
          <w:color w:val="3D3D3D"/>
          <w:sz w:val="19"/>
          <w:szCs w:val="19"/>
        </w:rPr>
        <w:t xml:space="preserve">American Nurses Association (ANA) – Member since 2013</w:t>
      </w:r>
    </w:p>
    <w:sectPr>
      <w:pgSz w:w="12240" w:h="15840" w:orient="portrait"/>
      <w:pgMar w:top="864" w:right="864" w:bottom="864" w:left="86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0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2026-06-21T19:16:24.249Z</dcterms:created>
  <dcterms:modified xsi:type="dcterms:W3CDTF">2026-06-21T19:16:24.249Z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