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Pune, MH | (+91) 98220-41567 | laurie.bream@endframesystems.com | linkedin.com/in/lauriebream-cs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Company Secretary | Sole CS, Private Company | ICSA/CGI, ACG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Part-qualified-to-qualified Company Secretary (ICSA/CGI, ACG) with 5 years running the full secretarial function for a 150-employee private company. Coordinates 18 board and subsidiary meetings annually, maintains statutory registers for 4 group entities, and cut board-pack distribution time from 10 days to 4 by restructuring the review process.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Systems Pvt. Ltd. — Pune, MH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Company Secretary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Sole Company Secretary function for a 150-employee private company, including statutory registers, AGM organization, and board minute-taking for all 8 annual board meetings.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the company's transition to digital statutory registers, cutting annual audit preparation time by 30% and eliminating 2 recurring compliance findings.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statutory registers across 4 group entities with zero compliance findings in three consecutive audits.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40+ Companies-Act and ROC filings per year with a 100% on-time submission record.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India Pvt. Ltd. — Pune, MH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Company Secretary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2018 - Feb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statutory filings for a 6-entity group, maintaining a 100% on-time submission record across 40+ Companies House/ROC filings per year.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Prepared board packs for 10 board meetings annually, reducing director query turnaround from 3 days to 1 by standardizing the pack template.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Corporate Governance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Statutory register maintenance, Companies Act compliance, conflicts-of-interest register management, share capital administration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Meetings &amp;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Board and committee minute-taking, AGM/EGM planning and logistics, board pack preparation and distribution, resolution drafting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Regulatory &amp; Legal Liaison: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ROC filings, liaison with external auditors and legal counsel, statutory deadline correspondence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Blueprint OneWorld, MCA portal, compliance tracker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ICSA/CGI, ACG, ICSI, ACS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LLB, Symbiosis Law School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