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keepNext/>
        <w:keepLines/>
        <w:widowControl/>
        <w:spacing w:before="0" w:after="40" w:line="276" w:lineRule="auto"/>
        <w:jc w:val="center"/>
      </w:pPr>
      <w:r>
        <w:rPr>
          <w:rFonts w:ascii="Arial" w:hAnsi="Arial" w:cs="Arial" w:eastAsia="Arial"/>
          <w:b/>
          <w:i w:val="0"/>
          <w:color w:val="2C5AA0"/>
          <w:sz w:val="48"/>
          <w:spacing w:val="6"/>
        </w:rPr>
        <w:t>Gavin Belson</w:t>
      </w:r>
    </w:p>
    <w:p>
      <w:pPr>
        <w:keepNext/>
        <w:keepLines/>
        <w:widowControl/>
        <w:spacing w:before="0" w:after="160" w:line="276" w:lineRule="auto"/>
        <w:jc w:val="center"/>
      </w:pPr>
      <w:r>
        <w:rPr>
          <w:rFonts w:ascii="Arial" w:hAnsi="Arial" w:cs="Arial" w:eastAsia="Arial"/>
          <w:b w:val="0"/>
          <w:i w:val="0"/>
          <w:color w:val="555555"/>
          <w:sz w:val="19"/>
        </w:rPr>
        <w:t>Bengaluru, KA | (+91) 98450-77291 | gavin.belson@hoolicorpgroup.com | linkedin.com/in/gavinbelson-fcs</w:t>
      </w:r>
    </w:p>
    <w:p>
      <w:pPr>
        <w:spacing w:before="0" w:after="180" w:line="240" w:lineRule="auto"/>
        <w:jc w:val="center"/>
        <w:keepNext/>
        <w:keepLines/>
        <w:widowControl/>
        <w:pBdr>
          <w:top w:val="single" w:sz="12" w:space="7" w:color="2c5aa0"/>
        </w:pBdr>
      </w:pPr>
      <w:r>
        <w:rPr>
          <w:rFonts w:ascii="Arial" w:hAnsi="Arial" w:cs="Arial" w:eastAsia="Arial"/>
          <w:b/>
          <w:i w:val="0"/>
          <w:color w:val="222222"/>
          <w:sz w:val="26"/>
        </w:rPr>
        <w:t>Group Company Secretary | Listed Multinational | ICSI, Fellow Company Secretary (FCS)</w:t>
      </w:r>
    </w:p>
    <w:p>
      <w:pPr>
        <w:keepNext w:val="0"/>
        <w:keepLines/>
        <w:widowControl/>
        <w:spacing w:before="0" w:after="200" w:line="276" w:lineRule="auto"/>
        <w:jc w:val="both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Group Company Secretary (ICSI, FCS) with 12 years directing governance across a 14-subsidiary listed multinational. Manages board and committee calendars for 25+ meetings per year across 3 time zones, partners with legal counsel on regulatory restructuring, and delivers SEBI and Companies Act filings with zero exceptions.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EXPERIENCE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Hooli Corp Group Ltd. — Bengaluru, KA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Group Company Secretary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Apr 2019 - Present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Coordinated governance across a 14-subsidiary listed group, managing board and committee calendars for 25+ meetings per year across 3 time zones.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Partnered with legal counsel on a group restructuring affecting 6 subsidiaries, delivering all statutory filings ahead of a 90-day regulatory deadline with zero exceptions.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Advised the board and 4 non-executive directors on SEBI (LODR) and Companies Act compliance ahead of AGM votes, with zero adverse audit observations across 3 consecutive years.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Directed a group-wide migration to Diligent Boards, cutting board-pack preparation time by 35% across all 14 entities.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Pied Piper Global Holdings — Bengaluru, KA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Deputy Company Secretary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Jun 2014 - Mar 2019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Managed statutory compliance for 8 subsidiary entities, maintaining a zero-miss record across 120+ filing deadlines over 4 years.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Drafted and circulated board minutes for 12 board and committee meetings annually, achieving zero compliance queries from auditors across 3 consecutive years.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SKILLS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Corporate Governance &amp; Compliance: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SEBI (LODR) compliance, Companies Act compliance, corporate governance code adherence, share capital administration, conflicts-of-interest register oversight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Meetings &amp; Documentation: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Board and committee minute-taking, AGM/EGM planning across multiple subsidiaries, board pack preparation and distribution, resolution drafting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Regulatory &amp; Legal Liaison: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SEC-equivalent/SEBI filings, ROC filings, liaison with external auditors and legal counsel, due diligence support for M&amp;A and restructuring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Board-Level &amp; Tools: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Diligent Boards, BoardPad, coaching directors on governance obligations, stakeholder communication with executive and non-executive directors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CERTIFICATIONS</w:t>
      </w:r>
    </w:p>
    <w:p>
      <w:pPr>
        <w:keepNext w:val="0"/>
        <w:keepLines/>
        <w:widowControl/>
        <w:spacing w:before="0" w:after="8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ICSI, Fellow Company Secretary (FCS), CGI (formerly ICSA), ACG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EDUCATION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LLB, National Law School of India University</w:t>
      </w:r>
    </w:p>
    <w:sectPr w:rsidR="00FC693F" w:rsidRPr="0006063C" w:rsidSect="00034616">
      <w:pgSz w:w="12240" w:h="15840"/>
      <w:pgMar w:top="792" w:right="850" w:bottom="792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76" w:lineRule="auto"/>
    </w:pPr>
    <w:rPr>
      <w:rFonts w:ascii="Arial" w:hAnsi="Arial" w:eastAsia="Arial" w:cs="Arial"/>
      <w:color w:val="222222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4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