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Boston, MA | (617) 555-0142 | monica.hall@email.com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Aspiring Management Consultant | MBB &amp; Big 4 Track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at Boston University with two years leading student-consulting engagements and a research assistantship applying hypothesis-driven analysis to real client and academic problems. Comfortable building MECE issue trees, structuring messy datasets, and presenting findings to non-technical stakeholders. Targeting a Business Analyst or Associate Consultant role for June 2026.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Boston University Consulting Group — Boston, MA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Project Lead, Client Engagement Team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a 4-person team applying a hypothesis-driven framework to assess a local retailer's five-store expansion options, presenting a market entry recommendation the client adopted, projected to lift revenue 15% within one year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MECE issue tree to structure a nonprofit client's donor-retention problem into three testable hypotheses, narrowing the analysis from 12 potential causes to the two with the largest revenue impact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Presented final recommendations to a 6-person client leadership team, translating quantitative findings into a one-page executive summary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Sloan Research Lab, Boston University — Boston, MA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Undergraduate Research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2023 - Aug 2024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Cleaned and restructured a 40,000-row survey dataset into MECE categories for a labor-economics study, cutting the professor's analysis time by an estimated 10 hours per week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financial model in Excel to project three funding scenarios for a $200K grant renewal, which the department used to set its final budget request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Strategy &amp; Analysis: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MECE, Hypothesis-driven problem solving, Issue tree development, Market entry strategy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Excel (pivot tables, VBA), SQL, PowerPoint (executive-ready decks)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Business Administration, Boston University, Expected May 2026 (GPA 3.8)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