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Laurie Bream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Francisco, CA | (415) 555-0196 | laurie.bream@endframe.com | lauriebream.design | linkedin.com/in/lauriebream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Chief Creative Officer | Enterprise Creative Strategy | 16+ Years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Chief Creative Officer with 16 years spanning agency and in-house leadership, now setting creative vision and standards across brand, digital, and content departments totaling 45 staff. Oversees a $12M annual creative budget and reports directly to the CEO on creative performance and brand health, with a track record of tying creative output to measurable business results.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Leadership &amp; Strategy: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Enterprise creative strategy, Department leadership (45 staff, 3 departments), Executive stakeholder management, Succession planning and talent development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Business &amp; Client-Facing: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P&amp;L and budget ownership ($12M), Board and C-suite reporting, Brand health measurement, Agency and vendor negotiation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Creative &amp; Design: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Brand identity systems, Cross-channel campaign strategy, Creative quality standards, Visual storytelling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 &amp; Technical: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Adobe Creative Suite, Figma, Keynote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Inc. — San Francisco,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Chief Creative Officer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Apr 2022 -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Set creative vision and standards across 3 departments (brand, digital, and content) totaling 45 staff, reporting directly to the CEO on creative performance and brand health.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Oversees a $12M annual creative budget, reallocating spend toward digital-first production that reduced per-asset cost by 18% while increasing output volume by 25%.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the executive creative review process adopted company-wide, cutting average campaign approval time from 3 weeks to 9 days.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Collective — San Francisco,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Group Creative Director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Jul 2017 - Mar 2022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creative direction for a portfolio of 6 client accounts spanning retail, finance, and CPG, managing a cross-functional team of 15 designers, copywriters, and producers with combined annual billings of $8M.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Pitched and won 4 new accounts in one fiscal year, contributing $2.1M in new agency revenue.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Brand Studio — Palo Alto,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Creative Director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2013 - Jun 2017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Rebuilt the brand's visual identity system across 30+ markets, cutting asset production time by 40% through a new centralized template library.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Partnered with product and marketing leadership to launch a global campaign that drove a 22% lift in brand awareness within the target demographic, per post-campaign brand tracking.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B.F.A. Design, Rhode Island School of Design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