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Francisco, CA | (415) 555-0173 | monica.hall@raviga.com | monicahall.design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Creative Director | Brand &amp; Digital Campaigns | 9+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Creative Director with 9 years leading brand and digital campaigns for consumer packaged goods and retail clients. Manages a team of 12 designers, writers, and motion artists across a $4M annual production budget. Led the rebrand and launch campaign that grew a client's social engagement by 38% in six months.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Strategy: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Creative team leadership (8-15 direct reports), Talent hiring and mentorship, Creative strategy development, Cross-functional alignment with product and marketing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Creative &amp; Design: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Art direction, Brand identity systems, Campaign concepting, Visual storytelling, Typography and layout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Business &amp; Client-Facing: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Budget ownership, Client presentations and pitch leadership, Stakeholder management, Vendor and agency negotiation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&amp; Technical: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Adobe Creative Suite, Figma, Keynote, Basic motion/video review workflows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Collective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Creative Director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a 10-person creative team across 14 campaign launches for three national retail clients, increasing average campaign engagement by 27% year over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Manages a $4M annual production budget across brand and digital campaigns, reallocating spend toward video-first formats that cut cost per asset by 15%.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the rebrand and launch campaign for a national CPG client that grew social engagement by 38% in six months, presenting the creative platform directly to the client's CMO.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Agency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Associate Creative Director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2018 - Jan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team of 9 designers and copywriters, maintaining on-time delivery across all active client work during a 10-month leadership transition.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Pitched and won 3 new accounts by developing distinctive creative platforms during new-business presentations, contributing $1.4M in new agency revenue.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Brand Studio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Art Director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2015 - Feb 2018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art direction for 12 campaigns across retail and CPG clients, briefing a 6-person design team each concept cycle.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B.F.A. Communication Design, California College of the Arts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