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  <w:jc w:val="center"/>
      </w:pPr>
      <w:r>
        <w:rPr>
          <w:rFonts w:ascii="Arial" w:cs="Arial" w:eastAsia="Arial" w:hAnsi="Arial"/>
          <w:b/>
          <w:bCs/>
          <w:color w:val="1A5276"/>
          <w:sz w:val="56"/>
          <w:szCs w:val="56"/>
        </w:rPr>
        <w:t xml:space="preserve">LAURIE BREAM</w:t>
      </w:r>
    </w:p>
    <w:p>
      <w:pPr>
        <w:spacing w:after="80" w:before="0"/>
        <w:jc w:val="center"/>
      </w:pPr>
      <w:r>
        <w:rPr>
          <w:rFonts w:ascii="Arial" w:cs="Arial" w:eastAsia="Arial" w:hAnsi="Arial"/>
          <w:i/>
          <w:iCs/>
          <w:color w:val="2E86C1"/>
          <w:sz w:val="24"/>
          <w:szCs w:val="24"/>
        </w:rPr>
        <w:t xml:space="preserve">NASM-CPT | Strength &amp; Conditioning Specialist</w:t>
      </w:r>
    </w:p>
    <w:p>
      <w:pPr>
        <w:spacing w:after="160" w:before="0"/>
        <w:jc w:val="center"/>
      </w:pPr>
      <w:r>
        <w:rPr>
          <w:rFonts w:ascii="Arial" w:cs="Arial" w:eastAsia="Arial" w:hAnsi="Arial"/>
          <w:color w:val="555555"/>
          <w:sz w:val="18"/>
          <w:szCs w:val="18"/>
        </w:rPr>
        <w:t xml:space="preserve">laurie.bream@email.com</w:t>
      </w:r>
      <w:r>
        <w:rPr>
          <w:rFonts w:ascii="Arial" w:cs="Arial" w:eastAsia="Arial" w:hAnsi="Arial"/>
          <w:color w:val="AAAAAA"/>
          <w:sz w:val="18"/>
          <w:szCs w:val="18"/>
        </w:rPr>
        <w:t xml:space="preserve">   |   </w:t>
      </w:r>
      <w:r>
        <w:rPr>
          <w:rFonts w:ascii="Arial" w:cs="Arial" w:eastAsia="Arial" w:hAnsi="Arial"/>
          <w:color w:val="555555"/>
          <w:sz w:val="18"/>
          <w:szCs w:val="18"/>
        </w:rPr>
        <w:t xml:space="preserve">(512) 847-3901</w:t>
      </w:r>
      <w:r>
        <w:rPr>
          <w:rFonts w:ascii="Arial" w:cs="Arial" w:eastAsia="Arial" w:hAnsi="Arial"/>
          <w:color w:val="AAAAAA"/>
          <w:sz w:val="18"/>
          <w:szCs w:val="18"/>
        </w:rPr>
        <w:t xml:space="preserve">   |   </w:t>
      </w:r>
      <w:r>
        <w:rPr>
          <w:rFonts w:ascii="Arial" w:cs="Arial" w:eastAsia="Arial" w:hAnsi="Arial"/>
          <w:color w:val="555555"/>
          <w:sz w:val="18"/>
          <w:szCs w:val="18"/>
        </w:rPr>
        <w:t xml:space="preserve">Austin, TX</w:t>
      </w:r>
      <w:r>
        <w:rPr>
          <w:rFonts w:ascii="Arial" w:cs="Arial" w:eastAsia="Arial" w:hAnsi="Arial"/>
          <w:color w:val="AAAAAA"/>
          <w:sz w:val="18"/>
          <w:szCs w:val="18"/>
        </w:rPr>
        <w:t xml:space="preserve">   |   </w:t>
      </w:r>
      <w:r>
        <w:rPr>
          <w:rFonts w:ascii="Arial" w:cs="Arial" w:eastAsia="Arial" w:hAnsi="Arial"/>
          <w:color w:val="555555"/>
          <w:sz w:val="18"/>
          <w:szCs w:val="18"/>
        </w:rPr>
        <w:t xml:space="preserve">linkedin.com/in/lauriebream</w:t>
      </w:r>
    </w:p>
    <w:p>
      <w:pPr>
        <w:pBdr>
          <w:bottom w:val="single" w:color="1A5276" w:sz="6" w:space="2"/>
        </w:pBdr>
        <w:spacing w:after="60" w:before="200"/>
      </w:pPr>
      <w:r>
        <w:rPr>
          <w:rFonts w:ascii="Arial" w:cs="Arial" w:eastAsia="Arial" w:hAnsi="Arial"/>
          <w:b/>
          <w:bCs/>
          <w:color w:val="1A5276"/>
          <w:sz w:val="22"/>
          <w:szCs w:val="22"/>
        </w:rPr>
        <w:t xml:space="preserve">PROFESSIONAL SUMMARY</w:t>
      </w:r>
    </w:p>
    <w:p>
      <w:pPr>
        <w:spacing w:after="80" w:before="80"/>
      </w:pPr>
      <w:r>
        <w:rPr>
          <w:rFonts w:ascii="Arial" w:cs="Arial" w:eastAsia="Arial" w:hAnsi="Arial"/>
          <w:color w:val="1A1A1A"/>
          <w:sz w:val="20"/>
          <w:szCs w:val="20"/>
        </w:rPr>
        <w:t xml:space="preserve">NASM-certified personal trainer with 6 years of experience across high-volume commercial gyms and boutique strength studios, specializing in hypertrophy, fat loss, and corrective exercise for working adults. Grew a personal client book from 9 to 38 active clients at current facility and maintained an 87% 12-month retention rate. Consistent top-three revenue contributor in personal training sales across two consecutive performance years.</w:t>
      </w:r>
    </w:p>
    <w:p>
      <w:pPr>
        <w:pBdr>
          <w:bottom w:val="single" w:color="1A5276" w:sz="6" w:space="2"/>
        </w:pBdr>
        <w:spacing w:after="60" w:before="200"/>
      </w:pPr>
      <w:r>
        <w:rPr>
          <w:rFonts w:ascii="Arial" w:cs="Arial" w:eastAsia="Arial" w:hAnsi="Arial"/>
          <w:b/>
          <w:bCs/>
          <w:color w:val="1A5276"/>
          <w:sz w:val="22"/>
          <w:szCs w:val="22"/>
        </w:rPr>
        <w:t xml:space="preserve">CERTIFICATIONS &amp; CREDENTIALS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NASM Certified Personal Trainer (CPT) — </w:t>
      </w:r>
      <w:r>
        <w:rPr>
          <w:rFonts w:ascii="Arial" w:cs="Arial" w:eastAsia="Arial" w:hAnsi="Arial"/>
          <w:color w:val="555555"/>
          <w:sz w:val="20"/>
          <w:szCs w:val="20"/>
        </w:rPr>
        <w:t xml:space="preserve">National Academy of Sports Medicine, </w:t>
      </w:r>
      <w:r>
        <w:rPr>
          <w:rFonts w:ascii="Arial" w:cs="Arial" w:eastAsia="Arial" w:hAnsi="Arial"/>
          <w:i/>
          <w:iCs/>
          <w:color w:val="888888"/>
          <w:sz w:val="20"/>
          <w:szCs w:val="20"/>
        </w:rPr>
        <w:t xml:space="preserve">Valid through June 2027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Certified Strength &amp; Conditioning Specialist (CSCS) — </w:t>
      </w:r>
      <w:r>
        <w:rPr>
          <w:rFonts w:ascii="Arial" w:cs="Arial" w:eastAsia="Arial" w:hAnsi="Arial"/>
          <w:color w:val="555555"/>
          <w:sz w:val="20"/>
          <w:szCs w:val="20"/>
        </w:rPr>
        <w:t xml:space="preserve">NSCA, </w:t>
      </w:r>
      <w:r>
        <w:rPr>
          <w:rFonts w:ascii="Arial" w:cs="Arial" w:eastAsia="Arial" w:hAnsi="Arial"/>
          <w:i/>
          <w:iCs/>
          <w:color w:val="888888"/>
          <w:sz w:val="20"/>
          <w:szCs w:val="20"/>
        </w:rPr>
        <w:t xml:space="preserve">Valid through March 2028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Corrective Exercise Specialist (CES) — </w:t>
      </w:r>
      <w:r>
        <w:rPr>
          <w:rFonts w:ascii="Arial" w:cs="Arial" w:eastAsia="Arial" w:hAnsi="Arial"/>
          <w:color w:val="555555"/>
          <w:sz w:val="20"/>
          <w:szCs w:val="20"/>
        </w:rPr>
        <w:t xml:space="preserve">NASM, </w:t>
      </w:r>
      <w:r>
        <w:rPr>
          <w:rFonts w:ascii="Arial" w:cs="Arial" w:eastAsia="Arial" w:hAnsi="Arial"/>
          <w:i/>
          <w:iCs/>
          <w:color w:val="888888"/>
          <w:sz w:val="20"/>
          <w:szCs w:val="20"/>
        </w:rPr>
        <w:t xml:space="preserve">Valid through June 2027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CPR/AED Certification — </w:t>
      </w:r>
      <w:r>
        <w:rPr>
          <w:rFonts w:ascii="Arial" w:cs="Arial" w:eastAsia="Arial" w:hAnsi="Arial"/>
          <w:color w:val="555555"/>
          <w:sz w:val="20"/>
          <w:szCs w:val="20"/>
        </w:rPr>
        <w:t xml:space="preserve">American Red Cross, </w:t>
      </w:r>
      <w:r>
        <w:rPr>
          <w:rFonts w:ascii="Arial" w:cs="Arial" w:eastAsia="Arial" w:hAnsi="Arial"/>
          <w:i/>
          <w:iCs/>
          <w:color w:val="888888"/>
          <w:sz w:val="20"/>
          <w:szCs w:val="20"/>
        </w:rPr>
        <w:t xml:space="preserve">Valid through November 2026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Precision Nutrition Level 1 (PN1) — </w:t>
      </w:r>
      <w:r>
        <w:rPr>
          <w:rFonts w:ascii="Arial" w:cs="Arial" w:eastAsia="Arial" w:hAnsi="Arial"/>
          <w:color w:val="555555"/>
          <w:sz w:val="20"/>
          <w:szCs w:val="20"/>
        </w:rPr>
        <w:t xml:space="preserve">Precision Nutrition, </w:t>
      </w:r>
      <w:r>
        <w:rPr>
          <w:rFonts w:ascii="Arial" w:cs="Arial" w:eastAsia="Arial" w:hAnsi="Arial"/>
          <w:i/>
          <w:iCs/>
          <w:color w:val="888888"/>
          <w:sz w:val="20"/>
          <w:szCs w:val="20"/>
        </w:rPr>
        <w:t xml:space="preserve">Completed 2023</w:t>
      </w:r>
    </w:p>
    <w:p>
      <w:pPr>
        <w:pBdr>
          <w:bottom w:val="single" w:color="1A5276" w:sz="6" w:space="2"/>
        </w:pBdr>
        <w:spacing w:after="60" w:before="200"/>
      </w:pPr>
      <w:r>
        <w:rPr>
          <w:rFonts w:ascii="Arial" w:cs="Arial" w:eastAsia="Arial" w:hAnsi="Arial"/>
          <w:b/>
          <w:bCs/>
          <w:color w:val="1A5276"/>
          <w:sz w:val="22"/>
          <w:szCs w:val="22"/>
        </w:rPr>
        <w:t xml:space="preserve">SKILLS</w:t>
      </w:r>
    </w:p>
    <w:p>
      <w:pPr>
        <w:spacing w:after="40" w:before="120"/>
      </w:pPr>
      <w:r>
        <w:rPr>
          <w:rFonts w:ascii="Arial" w:cs="Arial" w:eastAsia="Arial" w:hAnsi="Arial"/>
          <w:b/>
          <w:bCs/>
          <w:color w:val="1A5276"/>
          <w:sz w:val="20"/>
          <w:szCs w:val="20"/>
        </w:rPr>
        <w:t xml:space="preserve">Specializations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60"/>
            </w:tcMar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Strength &amp; Conditioning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60"/>
            </w:tcMar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Hypertrophy Programming</w:t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60"/>
            </w:tcMar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Corrective Exercise &amp; Movement Screening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60"/>
            </w:tcMar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Progressive Overload &amp; Periodization</w:t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60"/>
            </w:tcMar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Weight Management &amp; Body Recomposition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60"/>
            </w:tcMar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Senior &amp; Post-Rehab Fitness</w:t>
            </w:r>
          </w:p>
        </w:tc>
      </w:tr>
    </w:tbl>
    <w:p>
      <w:pPr>
        <w:spacing w:after="40" w:before="120"/>
      </w:pPr>
      <w:r>
        <w:rPr>
          <w:rFonts w:ascii="Arial" w:cs="Arial" w:eastAsia="Arial" w:hAnsi="Arial"/>
          <w:b/>
          <w:bCs/>
          <w:color w:val="1A5276"/>
          <w:sz w:val="20"/>
          <w:szCs w:val="20"/>
        </w:rPr>
        <w:t xml:space="preserve">Client Management &amp; Business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60"/>
            </w:tcMar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Client Retention &amp; Relationship Building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60"/>
            </w:tcMar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Fitness Assessments &amp; Goal Setting</w:t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60"/>
            </w:tcMar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Sales &amp; Package Conversion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60"/>
            </w:tcMar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Revenue Tracking &amp; Target Achievement</w:t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60"/>
            </w:tcMar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Session Scheduling &amp; Client Management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60"/>
            </w:tcMar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Behavior Change Coaching</w:t>
            </w:r>
          </w:p>
        </w:tc>
      </w:tr>
    </w:tbl>
    <w:p>
      <w:pPr>
        <w:spacing w:after="40" w:before="120"/>
      </w:pPr>
      <w:r>
        <w:rPr>
          <w:rFonts w:ascii="Arial" w:cs="Arial" w:eastAsia="Arial" w:hAnsi="Arial"/>
          <w:b/>
          <w:bCs/>
          <w:color w:val="1A5276"/>
          <w:sz w:val="20"/>
          <w:szCs w:val="20"/>
        </w:rPr>
        <w:t xml:space="preserve">Software &amp; Tools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60"/>
            </w:tcMar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Mindbody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60"/>
            </w:tcMar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Trainerize</w:t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60"/>
            </w:tcMar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Microsoft Office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60"/>
            </w:tcMar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Google Workspace</w:t>
            </w:r>
          </w:p>
        </w:tc>
      </w:tr>
    </w:tbl>
    <w:p>
      <w:pPr>
        <w:pBdr>
          <w:bottom w:val="single" w:color="1A5276" w:sz="6" w:space="2"/>
        </w:pBdr>
        <w:spacing w:after="60" w:before="200"/>
      </w:pPr>
      <w:r>
        <w:rPr>
          <w:rFonts w:ascii="Arial" w:cs="Arial" w:eastAsia="Arial" w:hAnsi="Arial"/>
          <w:b/>
          <w:bCs/>
          <w:color w:val="1A5276"/>
          <w:sz w:val="22"/>
          <w:szCs w:val="22"/>
        </w:rPr>
        <w:t xml:space="preserve">PROFESSIONAL EXPERIENCE</w:t>
      </w:r>
    </w:p>
    <w:p>
      <w:pPr>
        <w:spacing w:after="30" w:before="180"/>
      </w:pPr>
      <w:r>
        <w:rPr>
          <w:rFonts w:ascii="Arial" w:cs="Arial" w:eastAsia="Arial" w:hAnsi="Arial"/>
          <w:b/>
          <w:bCs/>
          <w:color w:val="1A1A1A"/>
          <w:sz w:val="22"/>
          <w:szCs w:val="22"/>
        </w:rPr>
        <w:t xml:space="preserve">Senior Personal Trainer</w:t>
      </w:r>
      <w:r>
        <w:rPr>
          <w:rFonts w:ascii="Arial" w:cs="Arial" w:eastAsia="Arial" w:hAnsi="Arial"/>
          <w:color w:val="2E86C1"/>
          <w:sz w:val="20"/>
          <w:szCs w:val="20"/>
        </w:rPr>
        <w:t xml:space="preserve">   |   Apex Fitness Club</w:t>
      </w:r>
      <w:r>
        <w:rPr>
          <w:rFonts w:ascii="Arial" w:cs="Arial" w:eastAsia="Arial" w:hAnsi="Arial"/>
          <w:color w:val="555555"/>
          <w:sz w:val="20"/>
          <w:szCs w:val="20"/>
        </w:rPr>
        <w:t xml:space="preserve">   |   Jan 2021 – Present</w:t>
      </w:r>
      <w:r>
        <w:rPr>
          <w:rFonts w:ascii="Arial" w:cs="Arial" w:eastAsia="Arial" w:hAnsi="Arial"/>
          <w:color w:val="999999"/>
          <w:sz w:val="18"/>
          <w:szCs w:val="18"/>
        </w:rPr>
        <w:t xml:space="preserve">   |   Austin, TX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A1A1A"/>
          <w:sz w:val="20"/>
          <w:szCs w:val="20"/>
        </w:rPr>
        <w:t xml:space="preserve">Grew active personal training client base from 9 to 38 clients within 14 months at a facility with 1,800+ members, converting 44% of complimentary fitness assessments into paid training packages.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A1A1A"/>
          <w:sz w:val="20"/>
          <w:szCs w:val="20"/>
        </w:rPr>
        <w:t xml:space="preserve">Maintained an 87% 12-month client retention rate by implementing structured progress reviews every 6 weeks and adjusting programming based on measured outcomes.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A1A1A"/>
          <w:sz w:val="20"/>
          <w:szCs w:val="20"/>
        </w:rPr>
        <w:t xml:space="preserve">Generated an average of $8,200/month in personal training revenue, ranking in the top three among 12 trainers for two consecutive annual performance cycles.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A1A1A"/>
          <w:sz w:val="20"/>
          <w:szCs w:val="20"/>
        </w:rPr>
        <w:t xml:space="preserve">Designed and delivered individualized 16-week strength and hypertrophy programs for intermediate lifters; 92% of program completers achieved measurable strength improvements in primary lifts.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A1A1A"/>
          <w:sz w:val="20"/>
          <w:szCs w:val="20"/>
        </w:rPr>
        <w:t xml:space="preserve">Conducted group orientation sessions for new gym members, increasing trial-to-training-package conversions by 28% over previous year.</w:t>
      </w:r>
    </w:p>
    <w:p>
      <w:pPr>
        <w:spacing w:after="30" w:before="180"/>
      </w:pPr>
      <w:r>
        <w:rPr>
          <w:rFonts w:ascii="Arial" w:cs="Arial" w:eastAsia="Arial" w:hAnsi="Arial"/>
          <w:b/>
          <w:bCs/>
          <w:color w:val="1A1A1A"/>
          <w:sz w:val="22"/>
          <w:szCs w:val="22"/>
        </w:rPr>
        <w:t xml:space="preserve">Personal Trainer</w:t>
      </w:r>
      <w:r>
        <w:rPr>
          <w:rFonts w:ascii="Arial" w:cs="Arial" w:eastAsia="Arial" w:hAnsi="Arial"/>
          <w:color w:val="2E86C1"/>
          <w:sz w:val="20"/>
          <w:szCs w:val="20"/>
        </w:rPr>
        <w:t xml:space="preserve">   |   FitCore Performance Studio</w:t>
      </w:r>
      <w:r>
        <w:rPr>
          <w:rFonts w:ascii="Arial" w:cs="Arial" w:eastAsia="Arial" w:hAnsi="Arial"/>
          <w:color w:val="555555"/>
          <w:sz w:val="20"/>
          <w:szCs w:val="20"/>
        </w:rPr>
        <w:t xml:space="preserve">   |   Aug 2018 – Dec 2020</w:t>
      </w:r>
      <w:r>
        <w:rPr>
          <w:rFonts w:ascii="Arial" w:cs="Arial" w:eastAsia="Arial" w:hAnsi="Arial"/>
          <w:color w:val="999999"/>
          <w:sz w:val="18"/>
          <w:szCs w:val="18"/>
        </w:rPr>
        <w:t xml:space="preserve">   |   San Antonio, TX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A1A1A"/>
          <w:sz w:val="20"/>
          <w:szCs w:val="20"/>
        </w:rPr>
        <w:t xml:space="preserve">Managed a schedule of 22 active clients per week in a boutique strength and conditioning studio, maintaining a 79% client retention rate across a 12-month period.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A1A1A"/>
          <w:sz w:val="20"/>
          <w:szCs w:val="20"/>
        </w:rPr>
        <w:t xml:space="preserve">Designed semi-private training programs for small groups of 3–5 clients, increasing studio revenue contribution by $2,400/month within the first year.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A1A1A"/>
          <w:sz w:val="20"/>
          <w:szCs w:val="20"/>
        </w:rPr>
        <w:t xml:space="preserve">Applied corrective exercise protocols for 8 clients recovering from upper- and lower-body movement dysfunctions, enabling all 8 to return to full resistance training within recommended timelines.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A1A1A"/>
          <w:sz w:val="20"/>
          <w:szCs w:val="20"/>
        </w:rPr>
        <w:t xml:space="preserve">Assisted head coach in developing a 6-week beginner-to-intermediate transition program adopted as a studio-wide onboarding offering.</w:t>
      </w:r>
    </w:p>
    <w:p>
      <w:pPr>
        <w:pBdr>
          <w:bottom w:val="single" w:color="1A5276" w:sz="6" w:space="2"/>
        </w:pBdr>
        <w:spacing w:after="60" w:before="200"/>
      </w:pPr>
      <w:r>
        <w:rPr>
          <w:rFonts w:ascii="Arial" w:cs="Arial" w:eastAsia="Arial" w:hAnsi="Arial"/>
          <w:b/>
          <w:bCs/>
          <w:color w:val="1A5276"/>
          <w:sz w:val="22"/>
          <w:szCs w:val="22"/>
        </w:rPr>
        <w:t xml:space="preserve">EDUCATION</w:t>
      </w:r>
    </w:p>
    <w:p>
      <w:pPr>
        <w:spacing w:after="30" w:before="100"/>
      </w:pPr>
      <w:r>
        <w:rPr>
          <w:rFonts w:ascii="Arial" w:cs="Arial" w:eastAsia="Arial" w:hAnsi="Arial"/>
          <w:b/>
          <w:bCs/>
          <w:color w:val="1A1A1A"/>
          <w:sz w:val="22"/>
          <w:szCs w:val="22"/>
        </w:rPr>
        <w:t xml:space="preserve">Bachelor of Science in Kinesiology</w:t>
      </w:r>
      <w:r>
        <w:rPr>
          <w:rFonts w:ascii="Arial" w:cs="Arial" w:eastAsia="Arial" w:hAnsi="Arial"/>
          <w:color w:val="555555"/>
          <w:sz w:val="20"/>
          <w:szCs w:val="20"/>
        </w:rPr>
        <w:t xml:space="preserve">   |   Texas State University, San Marcos, TX   |   2018</w:t>
      </w:r>
    </w:p>
    <w:sectPr>
      <w:pgSz w:w="12240" w:h="15840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▪"/>
      <w:lvlJc w:val="left"/>
      <w:pPr>
        <w:ind w:left="40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2026-04-29T12:45:38.308Z</dcterms:created>
  <dcterms:modified xsi:type="dcterms:W3CDTF">2026-04-29T12:45:38.310Z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