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555-0142 | monica.hall@email.com | linkedin.com/in/monicahall | Portfolio: monicahallwrites.com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Freelance Content Writer | Wellness &amp; Consumer Health | Open to Retainer Work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Freelance content writer focused on wellness and consumer health, with 11 published pieces across a regional newspaper, two niche blogs, and my own site. Comfortable working from a content brief, holding to AP Style, and publishing directly in WordPress. Looking for ongoing blog and newsletter work with health and lifestyle brands.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Writing &amp; Editing: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Blog writing, Newsletter copy, AP Style, Editing and proofreading, Fact-checking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SEO &amp; Research: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Keyword research, Search intent, On-page SEO, Google Search Console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Platforms: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WordPress, Google Docs, Grammarly, Google Analytics 4 (GA4)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Client-Facing: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Content briefs, Deadline management, Revision rounds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SELECTED WRITING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The Peninsula Review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Contributing Writer (Freelance)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2026 -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4 published health and community features of 900 to 1,200 words each, filed on a two-week deadline cycle with no missed deadlines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Interviewed 6 local clinicians and program directors as primary sources and fact-checked every quoted claim before filing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 Wellness Co.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Freelance Blog Writer (Project)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Nov 2025 - Jan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5 SEO blog posts of 1,200 to 1,500 words from client-supplied content briefs, published directly in WordPress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keyword research in Google Search Console to select target terms, with all 5 posts approved on first draft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Self-Published (monicahallwrites.com) — Remote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Writer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Published 2 long-form essays on preventive health that reached 3,400 combined readers in the first six months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maintain a 5-clip portfolio site organized by format so clients can find relevant samples in one click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English, Minor in Journalism - San Jose State University, 2025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Staff Contributor, The Spartan Daily (2023-2025): 14 bylined campus and health stories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HubSpot Content Marketing Certification (2026), Google Analytics Certification (2026)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