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Erlich Bachman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Atlanta, GA | (404) 555-0129 | erlich.bachman@gmail.com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Occupational Therapist | Skilled Nursing &amp; Home Health | Section GG &amp; MDS Scoring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Occupational Therapist, OTR/L, with 8 years across a 120-bed skilled nursing facility and home health caseloads in the Bream-Hall Health System. Uses the Berg Balance Scale and Section GG functional scoring to guide fall-risk reduction and MDS-driven discharge planning, reducing resident falls and cutting average length of stay.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LICENSURE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OTR/L, Georgia, active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PDPM and Section GG documentation training completed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Fall risk and balance intervention training completed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CPR/BLS certified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Payer &amp; Regulatory: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Medicare Part A, Medicare Part B, Section GG, MDS, PDPM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Assessments: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Berg Balance Scale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PointClickCare, Casamba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Bream-Hall Skilled Nursing &amp; Rehabilitation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Occupational Therapist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2019 -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Evaluate and treat a rotating caseload of 15-18 residents in a 120-bed SNF, using the Berg Balance Scale to identify fall risk and reduce resident falls by 22% over two quarters.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 Section GG functional scoring for MDS assessments on 40+ residents monthly and coordinate discharge planning with case management, cutting average length of stay by 3 days.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 treatment minutes against facility productivity standards in PointClickCare for a caseload averaging 6.0 productive hours per day.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 4-6 newly hired OTs and COTAs per year on Section GG scoring conventions and PDPM documentation requirements.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Home Health Agency — Atlanta,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Home Health Occupational Therapist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2017 - Feb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Conducted home safety evaluations and ADL retraining for a caseload of 10-12 homebound patients, completing OASIS-informed functional assessments at start of care and recertification.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Recommended durable medical equipment and home modifications for 90% of caseload, contributing to a 30% reduction in reported fall incidents within the first 60 days.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Master of Occupational Therapy (MOT), Georgia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