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EB Garamond Medium" w:cs="EB Garamond Medium" w:eastAsia="EB Garamond Medium" w:hAnsi="EB Garamond Medium"/>
          <w:color w:val="434343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• San Francisco, California  • laurie.bream@email.com  • (415) 555-8923  • in/lauriebream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Prompt engineer with 3 years of experience building LLM-powered pipelines for enterprise customer support and document intelligence applications. Proficient in RAG architecture, system prompt design, and evaluation framework development across GPT-4o and Claude 3.5 model families. Reduced escalation-to-human rate by 31% on a high-volume support automation tool through iterative prompt refinement and structured output validation.</w:t>
      </w:r>
    </w:p>
    <w:p w:rsidR="00000000" w:rsidDel="00000000" w:rsidP="00000000" w:rsidRDefault="00000000" w:rsidRPr="00000000" w14:paraId="00000005">
      <w:pPr>
        <w:pBdr>
          <w:bottom w:color="000000" w:space="0" w:sz="6" w:val="single"/>
        </w:pBdr>
        <w:spacing w:after="120" w:before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id w:val="737239287"/>
        <w:tag w:val="goog_rdk_0"/>
      </w:sdtPr>
      <w:sdtContent>
        <w:tbl>
          <w:tblPr>
            <w:tblStyle w:val="Table1"/>
            <w:tblW w:w="10754.0" w:type="dxa"/>
            <w:jc w:val="left"/>
            <w:tblLayout w:type="fixed"/>
            <w:tblLook w:val="0600"/>
          </w:tblPr>
          <w:tblGrid>
            <w:gridCol w:w="5377"/>
            <w:gridCol w:w="5377"/>
            <w:tblGridChange w:id="0">
              <w:tblGrid>
                <w:gridCol w:w="5377"/>
                <w:gridCol w:w="53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LLMs &amp; models</w:t>
                </w:r>
              </w:p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GPT-5, GPT-5 mini, Claude Opus 4.7, Gemini 3.1 Flash, Llama 4 Maverick, Mistral Large 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Frameworks</w:t>
                </w:r>
              </w:p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LangChain, LlamaIndex, Haystack, Semantic Kernel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Prompting techniques</w:t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RAG pipeline design, prompt chaining, system prompt architecture, adversarial testing, structured output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Evaluation</w:t>
                </w:r>
              </w:p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RAGAS, PromptFlow, A/B prompt testing, hallucination benchmarking, regression test suites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Technical</w:t>
                </w:r>
              </w:p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Python, REST APIs, Pinecone, Weaviate, JSON schema, token optimization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Domain</w:t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Customer support automation, document extraction, enterprise search</w:t>
                </w:r>
              </w:p>
            </w:tc>
          </w:tr>
        </w:tbl>
      </w:sdtContent>
    </w:sdt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color w:val="434343"/>
          <w:sz w:val="26"/>
          <w:szCs w:val="26"/>
          <w:rtl w:val="0"/>
        </w:rPr>
        <w:t xml:space="preserve">Prompt Engineer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Menlo Park,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Klarna (AI Products Team) — Remote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rtl w:val="0"/>
        </w:rPr>
        <w:t xml:space="preserve">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</w:t>
        <w:tab/>
        <w:t xml:space="preserve">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June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Own end-to-end prompt design for a customer support automation tool handling 80,000+ monthly queries in English, Swedish, and German, reducing escalation-to-human rate by 31%</w:t>
      </w:r>
    </w:p>
    <w:p w:rsidR="00000000" w:rsidDel="00000000" w:rsidP="00000000" w:rsidRDefault="00000000" w:rsidRPr="00000000" w14:paraId="00000016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Architected a multi-stage RAG pipeline using LangChain and Pinecone to ground responses in live policy documents, cutting out-of-scope responses from 19% to 6% across a 1,000-query eval set</w:t>
      </w:r>
    </w:p>
    <w:p w:rsidR="00000000" w:rsidDel="00000000" w:rsidP="00000000" w:rsidRDefault="00000000" w:rsidRPr="00000000" w14:paraId="00000017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Built a prompt regression test suite in PromptFlow covering 400+ test cases; established pre-deploy evaluation gates that prevented two model rollbacks from reaching production</w:t>
      </w:r>
    </w:p>
    <w:p w:rsidR="00000000" w:rsidDel="00000000" w:rsidP="00000000" w:rsidRDefault="00000000" w:rsidRPr="00000000" w14:paraId="00000018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Reduced average prompt token usage by 28% through structured compression techniques, saving approximately $3,100/month in API costs without measurable accuracy drop</w:t>
      </w:r>
    </w:p>
    <w:p w:rsidR="00000000" w:rsidDel="00000000" w:rsidP="00000000" w:rsidRDefault="00000000" w:rsidRPr="00000000" w14:paraId="00000019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AI Engineer (prompt engineering focus)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                                                                                                            Los Gatos,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Zoho — Remote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March 2019 - 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Designed and maintained system prompts for a document classification and extraction product used by 50+ enterprise clients, achieving 94% field-extraction accuracy on invoice and contract documents</w:t>
      </w:r>
    </w:p>
    <w:p w:rsidR="00000000" w:rsidDel="00000000" w:rsidP="00000000" w:rsidRDefault="00000000" w:rsidRPr="00000000" w14:paraId="0000001C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Ran structured A/B evaluations across GPT-3.5 and early GPT-4 prompt variants, reducing hallucination rate from 14% to 5% on a 600-query legal document benchmark</w:t>
      </w:r>
    </w:p>
    <w:p w:rsidR="00000000" w:rsidDel="00000000" w:rsidP="00000000" w:rsidRDefault="00000000" w:rsidRPr="00000000" w14:paraId="0000001D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Collaborated with ML engineers on fine-tuning thresholds and worked with the product team to translate customer quality complaints into targeted prompt changes with measurable eval outcomes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F">
      <w:pPr>
        <w:spacing w:before="12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Bachelor of Science in Computer Science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</w:t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University of California, Berkeley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DeepLearning.AI — Building Systems with the ChatGPT API (2023)</w:t>
      </w:r>
    </w:p>
    <w:p w:rsidR="00000000" w:rsidDel="00000000" w:rsidP="00000000" w:rsidRDefault="00000000" w:rsidRPr="00000000" w14:paraId="00000023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Microsoft — Azure AI Engineer Associate (2022)</w:t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EB Garamond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EB Garamond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  <w:font w:name="Roboto Light">
    <w:embedRegular w:fontKey="{00000000-0000-0000-0000-000000000000}" r:id="rId21" w:subsetted="0"/>
    <w:embedBold w:fontKey="{00000000-0000-0000-0000-000000000000}" r:id="rId22" w:subsetted="0"/>
    <w:embedItalic w:fontKey="{00000000-0000-0000-0000-000000000000}" r:id="rId23" w:subsetted="0"/>
    <w:embedBoldItalic w:fontKey="{00000000-0000-0000-0000-000000000000}" r:id="rId2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EBGaramond-boldItalic.ttf"/><Relationship Id="rId11" Type="http://schemas.openxmlformats.org/officeDocument/2006/relationships/font" Target="fonts/EBGaramondMedium-italic.ttf"/><Relationship Id="rId22" Type="http://schemas.openxmlformats.org/officeDocument/2006/relationships/font" Target="fonts/RobotoLight-bold.ttf"/><Relationship Id="rId10" Type="http://schemas.openxmlformats.org/officeDocument/2006/relationships/font" Target="fonts/EBGaramondMedium-bold.ttf"/><Relationship Id="rId21" Type="http://schemas.openxmlformats.org/officeDocument/2006/relationships/font" Target="fonts/RobotoLight-regular.ttf"/><Relationship Id="rId13" Type="http://schemas.openxmlformats.org/officeDocument/2006/relationships/font" Target="fonts/EBGaramondSemiBold-regular.ttf"/><Relationship Id="rId24" Type="http://schemas.openxmlformats.org/officeDocument/2006/relationships/font" Target="fonts/RobotoLight-boldItalic.ttf"/><Relationship Id="rId12" Type="http://schemas.openxmlformats.org/officeDocument/2006/relationships/font" Target="fonts/EBGaramondMedium-boldItalic.ttf"/><Relationship Id="rId23" Type="http://schemas.openxmlformats.org/officeDocument/2006/relationships/font" Target="fonts/RobotoLight-italic.ttf"/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9" Type="http://schemas.openxmlformats.org/officeDocument/2006/relationships/font" Target="fonts/EBGaramondMedium-regular.ttf"/><Relationship Id="rId15" Type="http://schemas.openxmlformats.org/officeDocument/2006/relationships/font" Target="fonts/EBGaramondSemiBold-italic.ttf"/><Relationship Id="rId14" Type="http://schemas.openxmlformats.org/officeDocument/2006/relationships/font" Target="fonts/EBGaramondSemiBold-bold.ttf"/><Relationship Id="rId17" Type="http://schemas.openxmlformats.org/officeDocument/2006/relationships/font" Target="fonts/EBGaramond-regular.ttf"/><Relationship Id="rId16" Type="http://schemas.openxmlformats.org/officeDocument/2006/relationships/font" Target="fonts/EBGaramondSemiBold-boldItalic.ttf"/><Relationship Id="rId5" Type="http://schemas.openxmlformats.org/officeDocument/2006/relationships/font" Target="fonts/Roboto-regular.ttf"/><Relationship Id="rId19" Type="http://schemas.openxmlformats.org/officeDocument/2006/relationships/font" Target="fonts/EBGaramond-italic.ttf"/><Relationship Id="rId6" Type="http://schemas.openxmlformats.org/officeDocument/2006/relationships/font" Target="fonts/Roboto-bold.ttf"/><Relationship Id="rId18" Type="http://schemas.openxmlformats.org/officeDocument/2006/relationships/font" Target="fonts/EBGaramond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1tYKjW0nqxOq6/IbFJk/Hz2M6A==">CgMxLjAaHwoBMBIaChgICVIUChJ0YWJsZS5jMGhtMTY2cjlkYjk4AHIhMUdKdHRfWklpVEFVdkJTcVkzUG00QkZsOXJ3VVg1VWF3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