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444444"/>
          <w:sz w:val="20"/>
          <w:szCs w:val="20"/>
          <w:rtl w:val="0"/>
        </w:rPr>
        <w:t xml:space="preserve">Chicago, IL  •  (312) 555-0192  • </w:t>
      </w:r>
      <w:r w:rsidDel="00000000" w:rsidR="00000000" w:rsidRPr="00000000">
        <w:rPr>
          <w:rFonts w:ascii="Calibri" w:cs="Calibri" w:eastAsia="Calibri" w:hAnsi="Calibri"/>
          <w:color w:val="444444"/>
          <w:rtl w:val="0"/>
        </w:rPr>
        <w:t xml:space="preserve">laurie.bream</w:t>
      </w:r>
      <w:r w:rsidDel="00000000" w:rsidR="00000000" w:rsidRPr="00000000">
        <w:rPr>
          <w:rFonts w:ascii="Calibri" w:cs="Calibri" w:eastAsia="Calibri" w:hAnsi="Calibri"/>
          <w:color w:val="444444"/>
          <w:sz w:val="20"/>
          <w:szCs w:val="20"/>
          <w:rtl w:val="0"/>
        </w:rPr>
        <w:t xml:space="preserve">@email.com  •  linkedin.com/in/l</w:t>
      </w:r>
      <w:r w:rsidDel="00000000" w:rsidR="00000000" w:rsidRPr="00000000">
        <w:rPr>
          <w:rFonts w:ascii="Calibri" w:cs="Calibri" w:eastAsia="Calibri" w:hAnsi="Calibri"/>
          <w:color w:val="444444"/>
          <w:rtl w:val="0"/>
        </w:rPr>
        <w:t xml:space="preserve">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Chief Marketing Officer with 22 years of experience leading enterprise marketing functions across Fortune 500 consumer goods and retail organizations. Proven record of building high-performing teams, driving double-digit revenue growth, and translating brand strategy into measurable business outcomes. Board advisor for two early-stage DTC brands.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Pinnacle Consumer Brands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Chicago, ILMarch 2017 to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global rebranding initiative across 14 markets, resulting in a 34% increase in unaided brand awareness within 18 months.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and scaled a 60-person marketing organization across brand, digital, performance, and creative functions.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Oversaw $180M annual marketing budget, reallocating 30% toward digital channels and improving blended ROAS by 2.4x.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Launched three new product lines generating a combined $420M in first-year revenue.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Negotiated and managed partnerships with four global agency networks, reducing external spend by $12M annually.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Hartwell Retail Group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Chicago, ILAugust 2013 to February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Developed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executed an omnichannel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growth strategy that increased comparable store sales by 19% over three years.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Directed brand repositioning effort that shifted primary customer demographic from 45+ to 30 to 44, growing addressable market by $2.1B.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performance marketing function from the ground up, scaling paid acquisition to $40M spend with a 3.8x return.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Managed and mentored a team of 28 across brand, content, CRM, and paid media.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Crestline Foods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Indianapolis, INJanuary 2010 to July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Spearheaded national product launch campaign reaching 85M households across TV, digital, and in-store.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Grew email subscriber base from 400K to 2.1M through lifecycle marketing and partnership co-acquisition programs.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Crestline Foods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Indianapolis, INMay 2006 to December 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Established company-wide consumer research function, conducting 40+ quantitative and qualitative studies annually.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Delivered insights that shaped two product reformulations, contributing to a combined $65M revenue recovery.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Procter &amp; Gamble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Cincinnati, OHJuly 2002 to April 2006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Managed $22M brand P&amp;L for a top-10 household products line, delivering 8% YoY volume growth.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cross-functional team of 12 through a complete packaging redesign that improved shelf conversion by 14%.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Northwestern University, Kellogg School of Management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Evanston, IL2002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University of Illinois Urbana-Champaign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Champaign, IL1998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Leadership: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P&amp;L Ownership, Executive Stakeholder Management, Board Presentations, Team Scaling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Marketing: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Brand Strategy, Performance Marketing, Omnichannel, CRM, Consumer Insights, Go-To-Market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Tools: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Salesforce, Tableau, Google Analytics, Marketo, Asana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1xMc3PR/P4Zhfc8HNjE8W7SKw==">CgMxLjA4AHIhMXNaWjR6M3c0UmZ0Z3o3Vkk3ZjZueWhXcnpMSndRLWhY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2026-02-27T08:23:21.336Z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